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48192B">
      <w:pPr>
        <w:rPr>
          <w:rFonts w:ascii="Times New Roman" w:hAnsi="Times New Roman" w:eastAsia="黑体"/>
          <w:color w:val="000080"/>
          <w:sz w:val="20"/>
          <w:szCs w:val="28"/>
          <w:highlight w:val="yellow"/>
        </w:rPr>
      </w:pPr>
      <w:bookmarkStart w:id="0" w:name="EBc27fe038f4e24c7692245450238bf909"/>
      <w:r>
        <w:rPr>
          <w:rFonts w:ascii="Times New Roman" w:hAnsi="Times New Roman" w:eastAsia="黑体"/>
          <w:color w:val="000080"/>
          <w:sz w:val="20"/>
          <w:szCs w:val="28"/>
          <w:highlight w:val="white"/>
        </w:rPr>
        <w:t xml:space="preserve"> </w:t>
      </w:r>
      <w:bookmarkEnd w:id="0"/>
    </w:p>
    <w:p w14:paraId="45A6EA9F">
      <w:pPr>
        <w:rPr>
          <w:rFonts w:ascii="Times New Roman" w:hAnsi="Times New Roman" w:eastAsia="黑体"/>
          <w:sz w:val="28"/>
          <w:szCs w:val="28"/>
          <w:highlight w:val="cyan"/>
        </w:rPr>
      </w:pPr>
      <w:bookmarkStart w:id="1" w:name="EB9c805e2891d14b6184402a43767dda9d"/>
      <w:r>
        <w:rPr>
          <w:rFonts w:ascii="Times New Roman" w:hAnsi="Times New Roman" w:eastAsia="黑体"/>
          <w:color w:val="000080"/>
          <w:sz w:val="20"/>
          <w:szCs w:val="28"/>
          <w:highlight w:val="white"/>
        </w:rPr>
        <w:t xml:space="preserve"> </w:t>
      </w:r>
      <w:bookmarkEnd w:id="1"/>
    </w:p>
    <w:p w14:paraId="2FF99376">
      <w:pPr>
        <w:jc w:val="center"/>
        <w:rPr>
          <w:rFonts w:ascii="Times New Roman" w:hAnsi="Times New Roman" w:eastAsia="黑体"/>
          <w:sz w:val="28"/>
          <w:szCs w:val="28"/>
        </w:rPr>
      </w:pPr>
    </w:p>
    <w:p w14:paraId="361ECF9B">
      <w:pPr>
        <w:jc w:val="center"/>
        <w:rPr>
          <w:rFonts w:ascii="Times New Roman" w:hAnsi="Times New Roman" w:eastAsia="黑体"/>
          <w:sz w:val="28"/>
          <w:szCs w:val="28"/>
        </w:rPr>
      </w:pPr>
    </w:p>
    <w:p w14:paraId="3D233293">
      <w:pPr>
        <w:jc w:val="center"/>
        <w:rPr>
          <w:rFonts w:ascii="Times New Roman" w:hAnsi="Times New Roman" w:eastAsia="黑体"/>
          <w:sz w:val="28"/>
          <w:szCs w:val="28"/>
        </w:rPr>
      </w:pPr>
      <w:r>
        <w:rPr>
          <w:rFonts w:hint="eastAsia" w:ascii="Times New Roman" w:hAnsi="Times New Roman" w:eastAsia="黑体"/>
          <w:color w:val="0000FF"/>
          <w:sz w:val="28"/>
          <w:szCs w:val="28"/>
          <w:highlight w:val="white"/>
          <w:lang w:val="en-US" w:eastAsia="zh-CN"/>
        </w:rPr>
        <w:t>通山至武宁高速公路湖北段（</w:t>
      </w:r>
      <w:r>
        <w:rPr>
          <w:rFonts w:ascii="Times New Roman" w:hAnsi="Times New Roman" w:eastAsia="黑体"/>
          <w:sz w:val="28"/>
          <w:szCs w:val="28"/>
          <w:highlight w:val="white"/>
        </w:rPr>
        <w:t>项目名称）</w:t>
      </w:r>
      <w:bookmarkStart w:id="2" w:name="EB2172a5b11ba14fc49ed38d13d633e97d"/>
      <w:r>
        <w:rPr>
          <w:rFonts w:hint="eastAsia" w:ascii="Times New Roman" w:hAnsi="Times New Roman" w:eastAsia="黑体"/>
          <w:sz w:val="28"/>
          <w:szCs w:val="28"/>
          <w:highlight w:val="white"/>
          <w:lang w:val="en-US" w:eastAsia="zh-CN"/>
        </w:rPr>
        <w:t>TW</w:t>
      </w:r>
      <w:r>
        <w:rPr>
          <w:rFonts w:hint="eastAsia" w:ascii="Times New Roman" w:hAnsi="Times New Roman" w:eastAsia="黑体"/>
          <w:color w:val="0000FF"/>
          <w:sz w:val="28"/>
          <w:szCs w:val="28"/>
          <w:highlight w:val="white"/>
          <w:lang w:val="en-US" w:eastAsia="zh-CN"/>
        </w:rPr>
        <w:t>BP</w:t>
      </w:r>
      <w:r>
        <w:rPr>
          <w:rFonts w:hint="eastAsia" w:ascii="Times New Roman" w:hAnsi="Times New Roman" w:eastAsia="黑体"/>
          <w:color w:val="0000FF"/>
          <w:sz w:val="28"/>
          <w:szCs w:val="28"/>
          <w:highlight w:val="white"/>
          <w:lang w:eastAsia="zh-CN"/>
        </w:rPr>
        <w:t>JC-1</w:t>
      </w:r>
      <w:r>
        <w:rPr>
          <w:rFonts w:ascii="Times New Roman" w:hAnsi="Times New Roman" w:eastAsia="黑体"/>
          <w:color w:val="0000FF"/>
          <w:sz w:val="28"/>
          <w:szCs w:val="28"/>
          <w:highlight w:val="white"/>
        </w:rPr>
        <w:t>标段</w:t>
      </w:r>
      <w:bookmarkEnd w:id="2"/>
      <w:r>
        <w:rPr>
          <w:rFonts w:ascii="Times New Roman" w:hAnsi="Times New Roman" w:eastAsia="黑体"/>
          <w:sz w:val="28"/>
          <w:szCs w:val="28"/>
          <w:highlight w:val="white"/>
        </w:rPr>
        <w:t>（标段名称）</w:t>
      </w:r>
      <w:bookmarkStart w:id="363" w:name="_GoBack"/>
      <w:r>
        <w:rPr>
          <w:rFonts w:hint="eastAsia" w:ascii="Times New Roman" w:hAnsi="Times New Roman" w:eastAsia="黑体"/>
          <w:color w:val="0000FF"/>
          <w:sz w:val="28"/>
          <w:szCs w:val="28"/>
          <w:highlight w:val="white"/>
          <w:lang w:eastAsia="zh-CN"/>
        </w:rPr>
        <w:t>试运营期高边坡监测服务</w:t>
      </w:r>
      <w:bookmarkEnd w:id="363"/>
      <w:r>
        <w:rPr>
          <w:rFonts w:ascii="Times New Roman" w:hAnsi="Times New Roman" w:eastAsia="黑体"/>
          <w:sz w:val="28"/>
          <w:szCs w:val="28"/>
          <w:highlight w:val="white"/>
        </w:rPr>
        <w:t>（服务名称）招标</w:t>
      </w:r>
    </w:p>
    <w:p w14:paraId="2462A113">
      <w:pPr>
        <w:ind w:firstLine="420"/>
        <w:rPr>
          <w:rFonts w:hint="eastAsia" w:ascii="Times New Roman" w:hAnsi="Times New Roman" w:eastAsia="宋体"/>
          <w:lang w:val="en-US" w:eastAsia="zh-CN"/>
        </w:rPr>
      </w:pPr>
    </w:p>
    <w:p w14:paraId="37CF7B45">
      <w:pPr>
        <w:ind w:firstLine="420"/>
        <w:rPr>
          <w:rFonts w:ascii="Times New Roman" w:hAnsi="Times New Roman"/>
        </w:rPr>
      </w:pPr>
    </w:p>
    <w:p w14:paraId="3705D7F9">
      <w:pPr>
        <w:ind w:firstLine="420"/>
        <w:rPr>
          <w:rFonts w:ascii="Times New Roman" w:hAnsi="Times New Roman"/>
        </w:rPr>
      </w:pPr>
    </w:p>
    <w:p w14:paraId="5DD66FAB">
      <w:pPr>
        <w:jc w:val="center"/>
        <w:rPr>
          <w:rFonts w:ascii="Times New Roman" w:hAnsi="Times New Roman" w:eastAsia="黑体"/>
          <w:color w:val="000000"/>
          <w:sz w:val="44"/>
        </w:rPr>
      </w:pPr>
      <w:r>
        <w:rPr>
          <w:rFonts w:ascii="Times New Roman" w:hAnsi="Times New Roman" w:eastAsia="黑体"/>
          <w:color w:val="000000"/>
          <w:sz w:val="72"/>
          <w:szCs w:val="72"/>
          <w:highlight w:val="white"/>
        </w:rPr>
        <w:t>招</w:t>
      </w:r>
      <w:r>
        <w:rPr>
          <w:rFonts w:hint="eastAsia" w:ascii="Times New Roman" w:hAnsi="Times New Roman" w:eastAsia="黑体"/>
          <w:color w:val="000000"/>
          <w:sz w:val="72"/>
          <w:szCs w:val="72"/>
          <w:highlight w:val="white"/>
          <w:lang w:val="en-US" w:eastAsia="zh-CN"/>
        </w:rPr>
        <w:t xml:space="preserve"> </w:t>
      </w:r>
      <w:r>
        <w:rPr>
          <w:rFonts w:ascii="Times New Roman" w:hAnsi="Times New Roman" w:eastAsia="黑体"/>
          <w:color w:val="000000"/>
          <w:sz w:val="72"/>
          <w:szCs w:val="72"/>
          <w:highlight w:val="white"/>
        </w:rPr>
        <w:t>标</w:t>
      </w:r>
      <w:r>
        <w:rPr>
          <w:rFonts w:hint="eastAsia" w:ascii="Times New Roman" w:hAnsi="Times New Roman" w:eastAsia="黑体"/>
          <w:color w:val="000000"/>
          <w:sz w:val="72"/>
          <w:szCs w:val="72"/>
          <w:highlight w:val="white"/>
          <w:lang w:val="en-US" w:eastAsia="zh-CN"/>
        </w:rPr>
        <w:t xml:space="preserve"> </w:t>
      </w:r>
      <w:r>
        <w:rPr>
          <w:rFonts w:ascii="Times New Roman" w:hAnsi="Times New Roman" w:eastAsia="黑体"/>
          <w:color w:val="000000"/>
          <w:sz w:val="72"/>
          <w:szCs w:val="72"/>
          <w:highlight w:val="white"/>
        </w:rPr>
        <w:t>文</w:t>
      </w:r>
      <w:r>
        <w:rPr>
          <w:rFonts w:hint="eastAsia" w:ascii="Times New Roman" w:hAnsi="Times New Roman" w:eastAsia="黑体"/>
          <w:color w:val="000000"/>
          <w:sz w:val="72"/>
          <w:szCs w:val="72"/>
          <w:highlight w:val="white"/>
          <w:lang w:val="en-US" w:eastAsia="zh-CN"/>
        </w:rPr>
        <w:t xml:space="preserve"> </w:t>
      </w:r>
      <w:r>
        <w:rPr>
          <w:rFonts w:ascii="Times New Roman" w:hAnsi="Times New Roman" w:eastAsia="黑体"/>
          <w:color w:val="000000"/>
          <w:sz w:val="72"/>
          <w:szCs w:val="72"/>
          <w:highlight w:val="white"/>
        </w:rPr>
        <w:t>件</w:t>
      </w:r>
    </w:p>
    <w:p w14:paraId="2C4F5D26">
      <w:pPr>
        <w:jc w:val="center"/>
        <w:rPr>
          <w:rFonts w:ascii="Times New Roman" w:hAnsi="Times New Roman" w:eastAsia="黑体"/>
          <w:color w:val="000000"/>
          <w:sz w:val="44"/>
        </w:rPr>
      </w:pPr>
    </w:p>
    <w:p w14:paraId="23CEBF00">
      <w:pPr>
        <w:jc w:val="center"/>
        <w:rPr>
          <w:rFonts w:ascii="Times New Roman" w:hAnsi="Times New Roman" w:eastAsia="黑体"/>
          <w:color w:val="000000"/>
          <w:sz w:val="44"/>
        </w:rPr>
      </w:pPr>
    </w:p>
    <w:p w14:paraId="1675AC73">
      <w:pPr>
        <w:jc w:val="center"/>
        <w:rPr>
          <w:rFonts w:ascii="Times New Roman" w:hAnsi="Times New Roman" w:eastAsia="黑体"/>
          <w:color w:val="000000"/>
          <w:sz w:val="44"/>
        </w:rPr>
      </w:pPr>
    </w:p>
    <w:p w14:paraId="52CC1F42">
      <w:pPr>
        <w:ind w:firstLine="140" w:firstLineChars="50"/>
        <w:jc w:val="center"/>
        <w:rPr>
          <w:rFonts w:ascii="Times New Roman" w:hAnsi="Times New Roman" w:eastAsia="黑体"/>
          <w:color w:val="000000"/>
          <w:sz w:val="28"/>
          <w:u w:val="single"/>
        </w:rPr>
      </w:pPr>
      <w:r>
        <w:rPr>
          <w:rFonts w:ascii="Times New Roman" w:hAnsi="Times New Roman" w:eastAsia="黑体"/>
          <w:color w:val="000000"/>
          <w:sz w:val="28"/>
          <w:highlight w:val="white"/>
        </w:rPr>
        <w:t>招标编号：</w:t>
      </w:r>
    </w:p>
    <w:p w14:paraId="5F4DF847">
      <w:pPr>
        <w:ind w:firstLine="140" w:firstLineChars="50"/>
        <w:jc w:val="center"/>
        <w:rPr>
          <w:rFonts w:ascii="Times New Roman" w:hAnsi="Times New Roman" w:eastAsia="黑体"/>
          <w:sz w:val="28"/>
          <w:szCs w:val="28"/>
        </w:rPr>
      </w:pPr>
    </w:p>
    <w:p w14:paraId="376A0A37">
      <w:pPr>
        <w:ind w:firstLine="140" w:firstLineChars="50"/>
        <w:jc w:val="center"/>
        <w:rPr>
          <w:rFonts w:ascii="Times New Roman" w:hAnsi="Times New Roman" w:eastAsia="黑体"/>
          <w:sz w:val="28"/>
          <w:szCs w:val="28"/>
        </w:rPr>
      </w:pPr>
    </w:p>
    <w:p w14:paraId="6EA96223">
      <w:pPr>
        <w:ind w:firstLine="140" w:firstLineChars="50"/>
        <w:jc w:val="center"/>
        <w:rPr>
          <w:rFonts w:ascii="Times New Roman" w:hAnsi="Times New Roman" w:eastAsia="黑体"/>
          <w:sz w:val="28"/>
          <w:szCs w:val="28"/>
        </w:rPr>
      </w:pPr>
    </w:p>
    <w:p w14:paraId="5C4513B9">
      <w:pPr>
        <w:ind w:firstLine="140" w:firstLineChars="50"/>
        <w:jc w:val="center"/>
        <w:rPr>
          <w:rFonts w:ascii="Times New Roman" w:hAnsi="Times New Roman" w:eastAsia="黑体"/>
          <w:sz w:val="28"/>
          <w:szCs w:val="28"/>
        </w:rPr>
      </w:pPr>
    </w:p>
    <w:p w14:paraId="6F16FBBC">
      <w:pPr>
        <w:ind w:firstLine="140" w:firstLineChars="50"/>
        <w:jc w:val="center"/>
        <w:rPr>
          <w:rFonts w:ascii="Times New Roman" w:hAnsi="Times New Roman" w:eastAsia="黑体"/>
          <w:sz w:val="28"/>
          <w:szCs w:val="28"/>
        </w:rPr>
      </w:pPr>
    </w:p>
    <w:p w14:paraId="25B81A92">
      <w:pPr>
        <w:ind w:firstLine="140" w:firstLineChars="50"/>
        <w:jc w:val="center"/>
        <w:rPr>
          <w:rFonts w:ascii="Times New Roman" w:hAnsi="Times New Roman" w:eastAsia="黑体"/>
          <w:sz w:val="28"/>
          <w:szCs w:val="28"/>
        </w:rPr>
      </w:pPr>
    </w:p>
    <w:p w14:paraId="08404AA7">
      <w:pPr>
        <w:ind w:firstLine="140" w:firstLineChars="50"/>
        <w:jc w:val="center"/>
        <w:rPr>
          <w:rFonts w:ascii="Times New Roman" w:hAnsi="Times New Roman" w:eastAsia="黑体"/>
          <w:sz w:val="28"/>
          <w:szCs w:val="28"/>
        </w:rPr>
      </w:pPr>
    </w:p>
    <w:p w14:paraId="389001FA">
      <w:pPr>
        <w:ind w:firstLine="140" w:firstLineChars="50"/>
        <w:jc w:val="center"/>
        <w:rPr>
          <w:rFonts w:ascii="Times New Roman" w:hAnsi="Times New Roman" w:eastAsia="黑体"/>
          <w:sz w:val="28"/>
          <w:szCs w:val="28"/>
        </w:rPr>
      </w:pPr>
    </w:p>
    <w:p w14:paraId="7FD649AF">
      <w:pPr>
        <w:ind w:firstLine="140" w:firstLineChars="50"/>
        <w:jc w:val="center"/>
        <w:rPr>
          <w:rFonts w:ascii="Times New Roman" w:hAnsi="Times New Roman" w:eastAsia="黑体"/>
          <w:sz w:val="28"/>
          <w:szCs w:val="28"/>
        </w:rPr>
      </w:pPr>
    </w:p>
    <w:p w14:paraId="6B7DF8ED">
      <w:pPr>
        <w:ind w:firstLine="140" w:firstLineChars="50"/>
        <w:jc w:val="center"/>
        <w:rPr>
          <w:rFonts w:ascii="Times New Roman" w:hAnsi="Times New Roman" w:eastAsia="黑体"/>
          <w:sz w:val="28"/>
          <w:szCs w:val="28"/>
        </w:rPr>
      </w:pPr>
    </w:p>
    <w:p w14:paraId="74DEB593">
      <w:pPr>
        <w:ind w:firstLine="140" w:firstLineChars="50"/>
        <w:jc w:val="center"/>
        <w:rPr>
          <w:rFonts w:ascii="Times New Roman" w:hAnsi="Times New Roman" w:eastAsia="黑体"/>
          <w:sz w:val="28"/>
          <w:szCs w:val="28"/>
        </w:rPr>
      </w:pPr>
    </w:p>
    <w:p w14:paraId="7E8E0ADF">
      <w:pPr>
        <w:ind w:firstLine="0" w:firstLineChars="0"/>
        <w:jc w:val="both"/>
        <w:rPr>
          <w:rFonts w:ascii="Times New Roman" w:hAnsi="Times New Roman" w:eastAsia="黑体"/>
          <w:sz w:val="28"/>
          <w:szCs w:val="28"/>
        </w:rPr>
      </w:pPr>
    </w:p>
    <w:p w14:paraId="6DE44ECF">
      <w:pPr>
        <w:ind w:firstLine="140" w:firstLineChars="50"/>
        <w:jc w:val="center"/>
        <w:rPr>
          <w:rFonts w:ascii="Times New Roman" w:hAnsi="Times New Roman" w:eastAsia="黑体"/>
          <w:sz w:val="28"/>
          <w:szCs w:val="28"/>
        </w:rPr>
      </w:pPr>
    </w:p>
    <w:p w14:paraId="59769CD3">
      <w:pPr>
        <w:ind w:firstLine="140" w:firstLineChars="50"/>
        <w:jc w:val="center"/>
        <w:rPr>
          <w:rFonts w:ascii="Times New Roman" w:hAnsi="Times New Roman" w:eastAsia="黑体"/>
          <w:sz w:val="28"/>
          <w:szCs w:val="28"/>
        </w:rPr>
      </w:pPr>
    </w:p>
    <w:p w14:paraId="72CC0778">
      <w:pPr>
        <w:ind w:firstLine="140" w:firstLineChars="50"/>
        <w:jc w:val="center"/>
        <w:rPr>
          <w:rFonts w:ascii="Times New Roman" w:hAnsi="Times New Roman" w:eastAsia="黑体"/>
          <w:sz w:val="28"/>
          <w:szCs w:val="28"/>
        </w:rPr>
      </w:pPr>
    </w:p>
    <w:p w14:paraId="3E10A261">
      <w:pPr>
        <w:ind w:firstLine="140" w:firstLineChars="50"/>
        <w:jc w:val="center"/>
        <w:rPr>
          <w:rFonts w:ascii="Times New Roman" w:hAnsi="Times New Roman" w:eastAsia="黑体"/>
          <w:sz w:val="28"/>
          <w:szCs w:val="28"/>
        </w:rPr>
      </w:pPr>
    </w:p>
    <w:p w14:paraId="14083303">
      <w:pPr>
        <w:ind w:firstLine="140" w:firstLineChars="50"/>
        <w:jc w:val="center"/>
        <w:rPr>
          <w:rFonts w:ascii="Times New Roman" w:hAnsi="Times New Roman" w:eastAsia="黑体"/>
          <w:sz w:val="28"/>
          <w:szCs w:val="28"/>
        </w:rPr>
      </w:pPr>
    </w:p>
    <w:p w14:paraId="686137B4">
      <w:pPr>
        <w:ind w:firstLine="140" w:firstLineChars="50"/>
        <w:jc w:val="center"/>
        <w:rPr>
          <w:rFonts w:ascii="Times New Roman" w:hAnsi="Times New Roman" w:eastAsia="黑体"/>
          <w:color w:val="000000"/>
          <w:sz w:val="28"/>
          <w:u w:val="single"/>
        </w:rPr>
      </w:pPr>
      <w:r>
        <w:rPr>
          <w:rFonts w:ascii="Times New Roman" w:hAnsi="Times New Roman" w:eastAsia="黑体"/>
          <w:sz w:val="28"/>
          <w:szCs w:val="28"/>
          <w:highlight w:val="white"/>
        </w:rPr>
        <w:t>招标人/招标代理机构:</w:t>
      </w:r>
      <w:r>
        <w:rPr>
          <w:rFonts w:ascii="Times New Roman" w:hAnsi="Times New Roman"/>
        </w:rPr>
        <w:t xml:space="preserve"> </w:t>
      </w:r>
      <w:r>
        <w:rPr>
          <w:rFonts w:hint="eastAsia" w:ascii="Times New Roman" w:hAnsi="Times New Roman" w:eastAsia="黑体"/>
          <w:sz w:val="28"/>
          <w:szCs w:val="28"/>
          <w:lang w:eastAsia="zh-CN"/>
        </w:rPr>
        <w:t>湖北交投咸九高速公路有限公司</w:t>
      </w:r>
      <w:r>
        <w:rPr>
          <w:rFonts w:ascii="Times New Roman" w:hAnsi="Times New Roman" w:eastAsia="黑体"/>
          <w:sz w:val="28"/>
          <w:szCs w:val="28"/>
        </w:rPr>
        <w:t>/华杰工程咨询有限公司(盖章)</w:t>
      </w:r>
    </w:p>
    <w:p w14:paraId="239979DA">
      <w:pPr>
        <w:spacing w:line="240" w:lineRule="auto"/>
        <w:ind w:firstLine="140" w:firstLineChars="50"/>
        <w:jc w:val="center"/>
        <w:rPr>
          <w:rFonts w:hint="eastAsia" w:ascii="Times New Roman" w:hAnsi="Times New Roman" w:eastAsia="黑体" w:cs="Times New Roman"/>
          <w:sz w:val="28"/>
          <w:szCs w:val="28"/>
          <w:highlight w:val="none"/>
        </w:rPr>
      </w:pPr>
      <w:bookmarkStart w:id="3" w:name="EB5e56c2c163214e9cbb07f788ce3abacc"/>
      <w:r>
        <w:rPr>
          <w:rFonts w:hint="eastAsia" w:ascii="Times New Roman" w:hAnsi="Times New Roman" w:eastAsia="黑体" w:cs="Times New Roman"/>
          <w:color w:val="0000FF"/>
          <w:sz w:val="28"/>
          <w:szCs w:val="28"/>
          <w:highlight w:val="none"/>
        </w:rPr>
        <w:t>202</w:t>
      </w:r>
      <w:r>
        <w:rPr>
          <w:rFonts w:hint="eastAsia" w:ascii="Times New Roman" w:hAnsi="Times New Roman" w:eastAsia="黑体" w:cs="Times New Roman"/>
          <w:color w:val="0000FF"/>
          <w:sz w:val="28"/>
          <w:szCs w:val="28"/>
          <w:highlight w:val="none"/>
          <w:lang w:val="en-US" w:eastAsia="zh-CN"/>
        </w:rPr>
        <w:t>6</w:t>
      </w:r>
      <w:r>
        <w:rPr>
          <w:rFonts w:hint="eastAsia" w:ascii="Times New Roman" w:hAnsi="Times New Roman" w:eastAsia="黑体" w:cs="Times New Roman"/>
          <w:color w:val="0000FF"/>
          <w:sz w:val="28"/>
          <w:szCs w:val="28"/>
          <w:highlight w:val="none"/>
        </w:rPr>
        <w:t>年</w:t>
      </w:r>
      <w:r>
        <w:rPr>
          <w:rFonts w:hint="eastAsia" w:ascii="Times New Roman" w:hAnsi="Times New Roman" w:eastAsia="黑体" w:cs="Times New Roman"/>
          <w:color w:val="0000FF"/>
          <w:sz w:val="28"/>
          <w:szCs w:val="28"/>
          <w:highlight w:val="none"/>
          <w:lang w:val="en-US" w:eastAsia="zh-CN"/>
        </w:rPr>
        <w:t xml:space="preserve">  </w:t>
      </w:r>
      <w:r>
        <w:rPr>
          <w:rFonts w:hint="eastAsia" w:ascii="Times New Roman" w:hAnsi="Times New Roman" w:eastAsia="黑体" w:cs="Times New Roman"/>
          <w:color w:val="0000FF"/>
          <w:sz w:val="28"/>
          <w:szCs w:val="28"/>
          <w:highlight w:val="none"/>
        </w:rPr>
        <w:t>月</w:t>
      </w:r>
      <w:r>
        <w:rPr>
          <w:rFonts w:hint="eastAsia" w:ascii="Times New Roman" w:hAnsi="Times New Roman" w:eastAsia="黑体" w:cs="Times New Roman"/>
          <w:color w:val="0000FF"/>
          <w:sz w:val="28"/>
          <w:szCs w:val="28"/>
          <w:highlight w:val="none"/>
          <w:lang w:val="en-US" w:eastAsia="zh-CN"/>
        </w:rPr>
        <w:t xml:space="preserve">  </w:t>
      </w:r>
      <w:r>
        <w:rPr>
          <w:rFonts w:hint="eastAsia" w:ascii="Times New Roman" w:hAnsi="Times New Roman" w:eastAsia="黑体" w:cs="Times New Roman"/>
          <w:color w:val="0000FF"/>
          <w:sz w:val="28"/>
          <w:szCs w:val="28"/>
          <w:highlight w:val="none"/>
        </w:rPr>
        <w:t>日</w:t>
      </w:r>
      <w:bookmarkEnd w:id="3"/>
    </w:p>
    <w:p w14:paraId="11FE5723">
      <w:pPr>
        <w:spacing w:line="400" w:lineRule="atLeast"/>
        <w:jc w:val="center"/>
        <w:rPr>
          <w:rFonts w:ascii="Times New Roman" w:hAnsi="Times New Roman"/>
        </w:rPr>
      </w:pPr>
    </w:p>
    <w:p w14:paraId="134E5238">
      <w:pPr>
        <w:spacing w:line="400" w:lineRule="atLeast"/>
        <w:jc w:val="center"/>
        <w:rPr>
          <w:rFonts w:ascii="Times New Roman" w:hAnsi="Times New Roman"/>
        </w:rPr>
      </w:pPr>
    </w:p>
    <w:p w14:paraId="289B3683">
      <w:pPr>
        <w:spacing w:line="400" w:lineRule="atLeast"/>
        <w:jc w:val="center"/>
        <w:rPr>
          <w:rFonts w:ascii="Times New Roman" w:hAnsi="Times New Roman"/>
        </w:rPr>
      </w:pPr>
    </w:p>
    <w:p w14:paraId="3FF0B847">
      <w:pPr>
        <w:spacing w:line="400" w:lineRule="atLeast"/>
        <w:rPr>
          <w:rFonts w:ascii="Times New Roman" w:hAnsi="Times New Roman"/>
        </w:rPr>
        <w:sectPr>
          <w:footerReference r:id="rId4" w:type="default"/>
          <w:headerReference r:id="rId3" w:type="even"/>
          <w:footnotePr>
            <w:numFmt w:val="decimalEnclosedCircleChinese"/>
            <w:numRestart w:val="eachPage"/>
          </w:footnotePr>
          <w:pgSz w:w="11905" w:h="16838"/>
          <w:pgMar w:top="1440" w:right="1803" w:bottom="1440" w:left="1803" w:header="850" w:footer="850" w:gutter="0"/>
          <w:pgBorders>
            <w:top w:val="none" w:sz="0" w:space="0"/>
            <w:left w:val="none" w:sz="0" w:space="0"/>
            <w:bottom w:val="none" w:sz="0" w:space="0"/>
            <w:right w:val="none" w:sz="0" w:space="0"/>
          </w:pgBorders>
          <w:pgNumType w:start="1"/>
          <w:cols w:space="720" w:num="1"/>
          <w:docGrid w:linePitch="312" w:charSpace="0"/>
        </w:sectPr>
      </w:pPr>
    </w:p>
    <w:p w14:paraId="4204BF90">
      <w:pPr>
        <w:spacing w:before="0" w:beforeLines="0" w:after="0" w:afterLines="0" w:line="240" w:lineRule="auto"/>
        <w:ind w:left="0" w:leftChars="0" w:right="0" w:rightChars="0" w:firstLine="0" w:firstLineChars="0"/>
        <w:jc w:val="center"/>
        <w:rPr>
          <w:rFonts w:hint="eastAsia" w:ascii="黑体" w:hAnsi="黑体" w:eastAsia="黑体" w:cs="黑体"/>
          <w:sz w:val="32"/>
          <w:szCs w:val="36"/>
        </w:rPr>
      </w:pPr>
      <w:r>
        <w:rPr>
          <w:rFonts w:hint="eastAsia" w:ascii="黑体" w:hAnsi="黑体" w:eastAsia="黑体" w:cs="黑体"/>
          <w:sz w:val="32"/>
          <w:szCs w:val="36"/>
        </w:rPr>
        <w:t>目录</w:t>
      </w:r>
    </w:p>
    <w:p w14:paraId="11EA0E1F">
      <w:pPr>
        <w:tabs>
          <w:tab w:val="right" w:leader="dot" w:pos="8299"/>
        </w:tabs>
        <w:spacing w:line="360" w:lineRule="auto"/>
        <w:ind w:leftChars="0"/>
        <w:rPr>
          <w:rFonts w:ascii="Times New Roman" w:hAnsi="Times New Roman" w:eastAsia="宋体" w:cs="Times New Roman"/>
          <w:b/>
          <w:kern w:val="0"/>
          <w:sz w:val="21"/>
          <w:szCs w:val="21"/>
        </w:rPr>
      </w:pPr>
    </w:p>
    <w:p w14:paraId="1C65C3A9">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TOC \o "1-2" \h \u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_Toc746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第一卷</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_Toc746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2</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7BAE2917">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_Toc9915 </w:instrText>
      </w:r>
      <w:r>
        <w:rPr>
          <w:rFonts w:ascii="Times New Roman" w:hAnsi="Times New Roman" w:eastAsia="宋体" w:cs="Times New Roman"/>
          <w:b w:val="0"/>
          <w:bCs/>
          <w:kern w:val="0"/>
          <w:sz w:val="22"/>
          <w:szCs w:val="22"/>
        </w:rPr>
        <w:fldChar w:fldCharType="separate"/>
      </w:r>
      <w:r>
        <w:rPr>
          <w:rFonts w:hint="default" w:ascii="Times New Roman" w:hAnsi="Times New Roman" w:eastAsia="宋体" w:cs="Times New Roman"/>
          <w:b w:val="0"/>
          <w:bCs/>
          <w:sz w:val="22"/>
          <w:szCs w:val="22"/>
        </w:rPr>
        <w:t xml:space="preserve">第二章 </w:t>
      </w:r>
      <w:r>
        <w:rPr>
          <w:rFonts w:ascii="Times New Roman" w:hAnsi="Times New Roman" w:eastAsia="宋体" w:cs="Times New Roman"/>
          <w:b w:val="0"/>
          <w:bCs/>
          <w:sz w:val="22"/>
          <w:szCs w:val="22"/>
          <w:highlight w:val="white"/>
        </w:rPr>
        <w:t>招标公告</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_Toc9915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1</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6ECCDE15">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_Toc28156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第二章 投标人须知</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_Toc28156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17</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523C0A0C">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_Toc12388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第三章 评标办法（综合评估法）</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_Toc12388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58</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7FC2DFFE">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_Toc23540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第四章 合同条款及格式</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_Toc23540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69</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6D801457">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_Toc25102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第二卷</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_Toc25102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89</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04532346">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_Toc7607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第五章 招标人要求</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_Toc7607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90</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4A3A7107">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_Toc8163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第三卷</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_Toc8163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104</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03676601">
      <w:pPr>
        <w:tabs>
          <w:tab w:val="right" w:leader="dot" w:pos="8299"/>
        </w:tabs>
        <w:spacing w:line="360" w:lineRule="auto"/>
        <w:ind w:leftChars="0"/>
        <w:rPr>
          <w:rFonts w:ascii="Times New Roman" w:hAnsi="Times New Roman" w:eastAsia="宋体" w:cs="Times New Roman"/>
          <w:b w:val="0"/>
          <w:bCs/>
          <w:sz w:val="22"/>
          <w:szCs w:val="22"/>
        </w:rPr>
      </w:pPr>
      <w:r>
        <w:rPr>
          <w:rFonts w:ascii="Times New Roman" w:hAnsi="Times New Roman" w:eastAsia="宋体" w:cs="Times New Roman"/>
          <w:b w:val="0"/>
          <w:bCs/>
          <w:kern w:val="0"/>
          <w:sz w:val="22"/>
          <w:szCs w:val="22"/>
        </w:rPr>
        <w:fldChar w:fldCharType="begin"/>
      </w:r>
      <w:r>
        <w:rPr>
          <w:rFonts w:ascii="Times New Roman" w:hAnsi="Times New Roman" w:eastAsia="宋体" w:cs="Times New Roman"/>
          <w:b w:val="0"/>
          <w:bCs/>
          <w:kern w:val="0"/>
          <w:sz w:val="22"/>
          <w:szCs w:val="22"/>
        </w:rPr>
        <w:instrText xml:space="preserve"> HYPERLINK \l _Toc1911 </w:instrText>
      </w:r>
      <w:r>
        <w:rPr>
          <w:rFonts w:ascii="Times New Roman" w:hAnsi="Times New Roman" w:eastAsia="宋体" w:cs="Times New Roman"/>
          <w:b w:val="0"/>
          <w:bCs/>
          <w:kern w:val="0"/>
          <w:sz w:val="22"/>
          <w:szCs w:val="22"/>
        </w:rPr>
        <w:fldChar w:fldCharType="separate"/>
      </w:r>
      <w:r>
        <w:rPr>
          <w:rFonts w:ascii="Times New Roman" w:hAnsi="Times New Roman" w:eastAsia="宋体" w:cs="Times New Roman"/>
          <w:b w:val="0"/>
          <w:bCs/>
          <w:sz w:val="22"/>
          <w:szCs w:val="22"/>
          <w:highlight w:val="white"/>
        </w:rPr>
        <w:t>第六章 投标文件格式</w:t>
      </w:r>
      <w:r>
        <w:rPr>
          <w:rFonts w:ascii="Times New Roman" w:hAnsi="Times New Roman" w:eastAsia="宋体" w:cs="Times New Roman"/>
          <w:b w:val="0"/>
          <w:bCs/>
          <w:sz w:val="22"/>
          <w:szCs w:val="22"/>
        </w:rPr>
        <w:tab/>
      </w:r>
      <w:r>
        <w:rPr>
          <w:rFonts w:ascii="Times New Roman" w:hAnsi="Times New Roman" w:eastAsia="宋体" w:cs="Times New Roman"/>
          <w:b w:val="0"/>
          <w:bCs/>
          <w:sz w:val="22"/>
          <w:szCs w:val="22"/>
        </w:rPr>
        <w:fldChar w:fldCharType="begin"/>
      </w:r>
      <w:r>
        <w:rPr>
          <w:rFonts w:ascii="Times New Roman" w:hAnsi="Times New Roman" w:eastAsia="宋体" w:cs="Times New Roman"/>
          <w:b w:val="0"/>
          <w:bCs/>
          <w:sz w:val="22"/>
          <w:szCs w:val="22"/>
        </w:rPr>
        <w:instrText xml:space="preserve"> PAGEREF _Toc1911 \h </w:instrText>
      </w:r>
      <w:r>
        <w:rPr>
          <w:rFonts w:ascii="Times New Roman" w:hAnsi="Times New Roman" w:eastAsia="宋体" w:cs="Times New Roman"/>
          <w:b w:val="0"/>
          <w:bCs/>
          <w:sz w:val="22"/>
          <w:szCs w:val="22"/>
        </w:rPr>
        <w:fldChar w:fldCharType="separate"/>
      </w:r>
      <w:r>
        <w:rPr>
          <w:rFonts w:ascii="Times New Roman" w:hAnsi="Times New Roman" w:eastAsia="宋体" w:cs="Times New Roman"/>
          <w:b w:val="0"/>
          <w:bCs/>
          <w:sz w:val="22"/>
          <w:szCs w:val="22"/>
        </w:rPr>
        <w:t>105</w:t>
      </w:r>
      <w:r>
        <w:rPr>
          <w:rFonts w:ascii="Times New Roman" w:hAnsi="Times New Roman" w:eastAsia="宋体" w:cs="Times New Roman"/>
          <w:b w:val="0"/>
          <w:bCs/>
          <w:sz w:val="22"/>
          <w:szCs w:val="22"/>
        </w:rPr>
        <w:fldChar w:fldCharType="end"/>
      </w:r>
      <w:r>
        <w:rPr>
          <w:rFonts w:ascii="Times New Roman" w:hAnsi="Times New Roman" w:eastAsia="宋体" w:cs="Times New Roman"/>
          <w:b w:val="0"/>
          <w:bCs/>
          <w:kern w:val="0"/>
          <w:sz w:val="22"/>
          <w:szCs w:val="22"/>
        </w:rPr>
        <w:fldChar w:fldCharType="end"/>
      </w:r>
    </w:p>
    <w:p w14:paraId="337EC018">
      <w:pPr>
        <w:spacing w:line="360" w:lineRule="auto"/>
        <w:ind w:firstLine="0"/>
        <w:rPr>
          <w:rFonts w:ascii="Times New Roman" w:hAnsi="Times New Roman"/>
          <w:b/>
          <w:kern w:val="0"/>
          <w:szCs w:val="24"/>
        </w:rPr>
      </w:pPr>
      <w:r>
        <w:rPr>
          <w:rFonts w:ascii="Times New Roman" w:hAnsi="Times New Roman"/>
          <w:b w:val="0"/>
          <w:bCs/>
          <w:kern w:val="0"/>
          <w:sz w:val="22"/>
          <w:szCs w:val="22"/>
        </w:rPr>
        <w:fldChar w:fldCharType="end"/>
      </w:r>
    </w:p>
    <w:p w14:paraId="098597A3">
      <w:pPr>
        <w:keepNext w:val="0"/>
        <w:keepLines w:val="0"/>
        <w:widowControl w:val="0"/>
        <w:spacing w:before="340" w:after="330" w:line="576" w:lineRule="auto"/>
        <w:ind w:firstLine="0" w:firstLineChars="0"/>
        <w:jc w:val="center"/>
        <w:outlineLvl w:val="0"/>
        <w:rPr>
          <w:rFonts w:ascii="Times New Roman" w:hAnsi="Times New Roman" w:eastAsia="宋体" w:cs="Times New Roman"/>
          <w:b/>
          <w:bCs/>
          <w:kern w:val="44"/>
          <w:sz w:val="44"/>
          <w:szCs w:val="44"/>
          <w:highlight w:val="white"/>
          <w:lang w:val="en-US" w:eastAsia="zh-CN" w:bidi="ar-SA"/>
        </w:rPr>
        <w:sectPr>
          <w:headerReference r:id="rId5" w:type="default"/>
          <w:footerReference r:id="rId6" w:type="default"/>
          <w:footerReference r:id="rId7" w:type="even"/>
          <w:pgSz w:w="11905" w:h="16838"/>
          <w:pgMar w:top="1440" w:right="1803" w:bottom="1440" w:left="1803" w:header="850" w:footer="850" w:gutter="0"/>
          <w:pgBorders>
            <w:top w:val="none" w:sz="0" w:space="0"/>
            <w:left w:val="none" w:sz="0" w:space="0"/>
            <w:bottom w:val="none" w:sz="0" w:space="0"/>
            <w:right w:val="none" w:sz="0" w:space="0"/>
          </w:pgBorders>
          <w:pgNumType w:start="1"/>
          <w:cols w:space="720" w:num="1"/>
          <w:docGrid w:linePitch="312" w:charSpace="0"/>
        </w:sectPr>
      </w:pPr>
      <w:bookmarkStart w:id="4" w:name="_Toc32321"/>
      <w:bookmarkStart w:id="5" w:name="_Toc6248"/>
      <w:bookmarkStart w:id="6" w:name="_Toc256000000"/>
      <w:bookmarkStart w:id="7" w:name="_Toc746"/>
      <w:bookmarkStart w:id="8" w:name="_Toc140053093"/>
    </w:p>
    <w:p w14:paraId="2759AEB6">
      <w:pPr>
        <w:keepNext w:val="0"/>
        <w:keepLines w:val="0"/>
        <w:widowControl w:val="0"/>
        <w:spacing w:before="340" w:after="330" w:line="576" w:lineRule="auto"/>
        <w:ind w:firstLine="0" w:firstLineChars="0"/>
        <w:jc w:val="center"/>
        <w:outlineLvl w:val="0"/>
        <w:rPr>
          <w:rFonts w:ascii="Times New Roman" w:hAnsi="Times New Roman" w:eastAsia="宋体" w:cs="Times New Roman"/>
          <w:b/>
          <w:bCs/>
          <w:kern w:val="44"/>
          <w:sz w:val="44"/>
          <w:szCs w:val="44"/>
          <w:lang w:val="en-US" w:eastAsia="zh-CN" w:bidi="ar-SA"/>
        </w:rPr>
      </w:pPr>
      <w:r>
        <w:rPr>
          <w:rFonts w:ascii="Times New Roman" w:hAnsi="Times New Roman" w:eastAsia="宋体" w:cs="Times New Roman"/>
          <w:b/>
          <w:bCs/>
          <w:kern w:val="44"/>
          <w:sz w:val="44"/>
          <w:szCs w:val="44"/>
          <w:highlight w:val="white"/>
          <w:lang w:val="en-US" w:eastAsia="zh-CN" w:bidi="ar-SA"/>
        </w:rPr>
        <w:t>第一卷</w:t>
      </w:r>
      <w:bookmarkEnd w:id="4"/>
      <w:bookmarkEnd w:id="5"/>
      <w:bookmarkEnd w:id="6"/>
      <w:bookmarkEnd w:id="7"/>
      <w:bookmarkEnd w:id="8"/>
    </w:p>
    <w:p w14:paraId="6C501D4B">
      <w:pPr>
        <w:numPr>
          <w:ilvl w:val="0"/>
          <w:numId w:val="1"/>
        </w:numPr>
        <w:spacing w:line="240" w:lineRule="auto"/>
        <w:ind w:left="0" w:firstLine="0"/>
        <w:rPr>
          <w:rFonts w:ascii="Times New Roman" w:hAnsi="Times New Roman"/>
        </w:rPr>
        <w:sectPr>
          <w:footerReference r:id="rId8" w:type="default"/>
          <w:pgSz w:w="11905" w:h="16838"/>
          <w:pgMar w:top="1440" w:right="1803" w:bottom="1440" w:left="1803" w:header="850" w:footer="850" w:gutter="0"/>
          <w:pgBorders>
            <w:top w:val="none" w:sz="0" w:space="0"/>
            <w:left w:val="none" w:sz="0" w:space="0"/>
            <w:bottom w:val="none" w:sz="0" w:space="0"/>
            <w:right w:val="none" w:sz="0" w:space="0"/>
          </w:pgBorders>
          <w:pgNumType w:start="1"/>
          <w:cols w:space="720" w:num="1"/>
          <w:docGrid w:linePitch="312" w:charSpace="0"/>
        </w:sectPr>
      </w:pPr>
      <w:bookmarkStart w:id="9" w:name="_Toc21904"/>
      <w:bookmarkStart w:id="10" w:name="_Toc256000001"/>
      <w:bookmarkStart w:id="11" w:name="_Toc392"/>
      <w:bookmarkStart w:id="12" w:name="_Toc140053094"/>
    </w:p>
    <w:p w14:paraId="334592F4">
      <w:pPr>
        <w:keepNext w:val="0"/>
        <w:keepLines w:val="0"/>
        <w:widowControl w:val="0"/>
        <w:numPr>
          <w:ilvl w:val="0"/>
          <w:numId w:val="1"/>
        </w:numPr>
        <w:spacing w:before="0" w:after="0" w:line="240" w:lineRule="auto"/>
        <w:ind w:left="1791" w:hanging="1791" w:firstLineChars="0"/>
        <w:jc w:val="center"/>
        <w:outlineLvl w:val="0"/>
        <w:rPr>
          <w:rFonts w:ascii="Times New Roman" w:hAnsi="Times New Roman" w:eastAsia="宋体" w:cs="Times New Roman"/>
          <w:b/>
          <w:bCs/>
          <w:kern w:val="44"/>
          <w:sz w:val="44"/>
          <w:szCs w:val="44"/>
          <w:lang w:val="en-US" w:eastAsia="zh-CN" w:bidi="ar-SA"/>
        </w:rPr>
      </w:pPr>
      <w:bookmarkStart w:id="13" w:name="_Toc9915"/>
      <w:r>
        <w:rPr>
          <w:rFonts w:ascii="Times New Roman" w:hAnsi="Times New Roman" w:eastAsia="宋体" w:cs="Times New Roman"/>
          <w:b/>
          <w:bCs/>
          <w:kern w:val="44"/>
          <w:sz w:val="44"/>
          <w:szCs w:val="44"/>
          <w:highlight w:val="white"/>
          <w:lang w:val="en-US" w:eastAsia="zh-CN" w:bidi="ar-SA"/>
        </w:rPr>
        <w:t>招标公告</w:t>
      </w:r>
      <w:bookmarkEnd w:id="9"/>
      <w:bookmarkEnd w:id="10"/>
      <w:bookmarkEnd w:id="11"/>
      <w:bookmarkEnd w:id="12"/>
      <w:bookmarkEnd w:id="13"/>
    </w:p>
    <w:p w14:paraId="10DAB829">
      <w:pPr>
        <w:spacing w:line="360" w:lineRule="auto"/>
        <w:jc w:val="center"/>
        <w:rPr>
          <w:rFonts w:hint="eastAsia" w:ascii="Times New Roman" w:hAnsi="Times New Roman"/>
          <w:kern w:val="0"/>
          <w:sz w:val="28"/>
          <w:szCs w:val="28"/>
          <w:lang w:eastAsia="zh-CN"/>
        </w:rPr>
      </w:pPr>
    </w:p>
    <w:p w14:paraId="1F2D6286">
      <w:pPr>
        <w:spacing w:line="360" w:lineRule="auto"/>
        <w:jc w:val="center"/>
        <w:rPr>
          <w:rFonts w:hint="eastAsia" w:ascii="Times New Roman" w:hAnsi="Times New Roman"/>
          <w:kern w:val="0"/>
          <w:sz w:val="28"/>
          <w:szCs w:val="28"/>
          <w:lang w:eastAsia="zh-CN"/>
        </w:rPr>
      </w:pPr>
      <w:r>
        <w:rPr>
          <w:rFonts w:hint="eastAsia" w:ascii="Times New Roman" w:hAnsi="Times New Roman"/>
          <w:kern w:val="0"/>
          <w:sz w:val="28"/>
          <w:szCs w:val="28"/>
          <w:lang w:eastAsia="zh-CN"/>
        </w:rPr>
        <w:t>通山至武宁高速公路湖北段试运营期高边坡监测服务TWBPJC-1标段</w:t>
      </w:r>
    </w:p>
    <w:p w14:paraId="39910676">
      <w:pPr>
        <w:spacing w:line="360" w:lineRule="auto"/>
        <w:jc w:val="center"/>
        <w:rPr>
          <w:rFonts w:ascii="Times New Roman" w:hAnsi="Times New Roman"/>
          <w:kern w:val="0"/>
          <w:sz w:val="28"/>
          <w:szCs w:val="28"/>
        </w:rPr>
      </w:pPr>
      <w:r>
        <w:rPr>
          <w:rFonts w:ascii="Times New Roman" w:hAnsi="Times New Roman"/>
          <w:kern w:val="0"/>
          <w:sz w:val="28"/>
          <w:szCs w:val="28"/>
        </w:rPr>
        <w:t>招标公告</w:t>
      </w:r>
    </w:p>
    <w:p w14:paraId="5115FD89">
      <w:pPr>
        <w:spacing w:line="360" w:lineRule="auto"/>
        <w:jc w:val="center"/>
        <w:rPr>
          <w:rFonts w:hint="default" w:ascii="Times New Roman" w:hAnsi="Times New Roman" w:eastAsia="宋体"/>
          <w:sz w:val="24"/>
          <w:szCs w:val="24"/>
          <w:lang w:val="en-US" w:eastAsia="zh-CN"/>
        </w:rPr>
      </w:pPr>
      <w:r>
        <w:rPr>
          <w:rFonts w:ascii="Times New Roman" w:hAnsi="Times New Roman"/>
          <w:sz w:val="24"/>
          <w:szCs w:val="24"/>
        </w:rPr>
        <w:t>招标编号：</w:t>
      </w:r>
      <w:r>
        <w:rPr>
          <w:rFonts w:hint="eastAsia" w:ascii="Times New Roman" w:hAnsi="Times New Roman"/>
          <w:sz w:val="24"/>
          <w:szCs w:val="24"/>
          <w:lang w:val="en-US" w:eastAsia="zh-CN"/>
        </w:rPr>
        <w:t>/</w:t>
      </w:r>
    </w:p>
    <w:p w14:paraId="0F510B14">
      <w:pPr>
        <w:spacing w:line="360" w:lineRule="auto"/>
        <w:jc w:val="left"/>
        <w:outlineLvl w:val="1"/>
        <w:rPr>
          <w:rFonts w:ascii="Times New Roman" w:hAnsi="Times New Roman"/>
          <w:b/>
          <w:bCs/>
          <w:sz w:val="24"/>
          <w:szCs w:val="24"/>
          <w:highlight w:val="white"/>
        </w:rPr>
      </w:pPr>
      <w:bookmarkStart w:id="14" w:name="_Toc16733"/>
      <w:r>
        <w:rPr>
          <w:rFonts w:ascii="Times New Roman" w:hAnsi="Times New Roman"/>
          <w:b/>
          <w:bCs/>
          <w:sz w:val="24"/>
          <w:szCs w:val="24"/>
          <w:highlight w:val="white"/>
        </w:rPr>
        <w:t>1、招标条件</w:t>
      </w:r>
      <w:bookmarkEnd w:id="14"/>
    </w:p>
    <w:p w14:paraId="05D83A50">
      <w:pPr>
        <w:widowControl/>
        <w:spacing w:line="360" w:lineRule="auto"/>
        <w:ind w:firstLine="960" w:firstLineChars="400"/>
        <w:rPr>
          <w:rFonts w:hint="eastAsia" w:ascii="Times New Roman" w:hAnsi="Times New Roman"/>
          <w:kern w:val="0"/>
          <w:sz w:val="24"/>
          <w:szCs w:val="24"/>
          <w:lang w:eastAsia="zh-CN"/>
        </w:rPr>
      </w:pPr>
      <w:r>
        <w:rPr>
          <w:rFonts w:hint="eastAsia" w:ascii="Times New Roman" w:hAnsi="Times New Roman"/>
          <w:kern w:val="0"/>
          <w:sz w:val="24"/>
          <w:szCs w:val="24"/>
          <w:lang w:eastAsia="zh-CN"/>
        </w:rPr>
        <w:t>通山至武宁高速公路湖北段工程(以下简称“本项目”)已由湖北省发展和改革委员会以《省发改委关于通山至武宁高速公路湖北段项目核准的批复》（鄂发改审批服务﹝2021﹞7号）批准建设，湖北省交通运输厅以《省交通运输厅关于通山至武宁高速公路湖北段初步设计的批复》（交公路函（2021）123号）批准初步设计。本项目所需资金已落实。招标人为湖北交投咸九高速公路有限公司，招标代理为华杰工程咨询有限公司。项目已具备招标条件，现就本项目的</w:t>
      </w:r>
      <w:r>
        <w:rPr>
          <w:rFonts w:hint="eastAsia" w:ascii="Times New Roman" w:hAnsi="Times New Roman"/>
          <w:kern w:val="0"/>
          <w:sz w:val="24"/>
          <w:szCs w:val="24"/>
          <w:lang w:val="en-US" w:eastAsia="zh-CN"/>
        </w:rPr>
        <w:t>高边坡监测服务</w:t>
      </w:r>
      <w:r>
        <w:rPr>
          <w:rFonts w:hint="eastAsia" w:ascii="Times New Roman" w:hAnsi="Times New Roman"/>
          <w:kern w:val="0"/>
          <w:sz w:val="24"/>
          <w:szCs w:val="24"/>
          <w:lang w:eastAsia="zh-CN"/>
        </w:rPr>
        <w:t>进行公开招标，并对投标人进行资格后审。</w:t>
      </w:r>
    </w:p>
    <w:p w14:paraId="1388D855">
      <w:pPr>
        <w:widowControl/>
        <w:spacing w:line="360" w:lineRule="auto"/>
        <w:ind w:firstLine="482" w:firstLineChars="200"/>
        <w:jc w:val="left"/>
        <w:outlineLvl w:val="1"/>
        <w:rPr>
          <w:rFonts w:ascii="Times New Roman" w:hAnsi="Times New Roman"/>
          <w:b/>
          <w:bCs/>
          <w:kern w:val="0"/>
          <w:sz w:val="24"/>
          <w:szCs w:val="24"/>
        </w:rPr>
      </w:pPr>
      <w:bookmarkStart w:id="15" w:name="_Toc19113"/>
      <w:r>
        <w:rPr>
          <w:rFonts w:ascii="Times New Roman" w:hAnsi="Times New Roman"/>
          <w:b/>
          <w:bCs/>
          <w:kern w:val="0"/>
          <w:sz w:val="24"/>
          <w:szCs w:val="24"/>
        </w:rPr>
        <w:t>2.项目概况与招标范围</w:t>
      </w:r>
      <w:bookmarkEnd w:id="15"/>
    </w:p>
    <w:p w14:paraId="34B4F524">
      <w:pPr>
        <w:spacing w:line="360" w:lineRule="auto"/>
        <w:ind w:firstLine="480" w:firstLineChars="200"/>
        <w:jc w:val="left"/>
        <w:rPr>
          <w:rFonts w:ascii="Times New Roman" w:hAnsi="Times New Roman"/>
          <w:sz w:val="24"/>
          <w:szCs w:val="24"/>
        </w:rPr>
      </w:pPr>
      <w:r>
        <w:rPr>
          <w:rFonts w:ascii="Times New Roman" w:hAnsi="Times New Roman"/>
          <w:sz w:val="24"/>
          <w:szCs w:val="24"/>
        </w:rPr>
        <w:t>2.1项目概况</w:t>
      </w:r>
    </w:p>
    <w:p w14:paraId="698BD362">
      <w:pPr>
        <w:spacing w:line="360" w:lineRule="auto"/>
        <w:ind w:firstLine="480" w:firstLineChars="200"/>
        <w:jc w:val="left"/>
        <w:rPr>
          <w:rFonts w:hint="eastAsia" w:ascii="Times New Roman" w:hAnsi="Times New Roman"/>
          <w:sz w:val="24"/>
          <w:szCs w:val="24"/>
        </w:rPr>
      </w:pPr>
      <w:r>
        <w:rPr>
          <w:rFonts w:hint="eastAsia" w:ascii="Times New Roman" w:hAnsi="Times New Roman"/>
          <w:sz w:val="24"/>
          <w:szCs w:val="24"/>
        </w:rPr>
        <w:t>建设地点：湖北省咸宁市境内。</w:t>
      </w:r>
    </w:p>
    <w:p w14:paraId="3B9382EB">
      <w:pPr>
        <w:spacing w:line="360" w:lineRule="auto"/>
        <w:ind w:firstLine="480" w:firstLineChars="200"/>
        <w:jc w:val="left"/>
        <w:rPr>
          <w:rFonts w:hint="eastAsia" w:ascii="Times New Roman" w:hAnsi="Times New Roman" w:eastAsia="宋体"/>
          <w:sz w:val="24"/>
          <w:szCs w:val="24"/>
          <w:lang w:eastAsia="zh-CN"/>
        </w:rPr>
      </w:pPr>
      <w:r>
        <w:rPr>
          <w:rFonts w:hint="eastAsia" w:ascii="Times New Roman" w:hAnsi="Times New Roman"/>
          <w:sz w:val="24"/>
          <w:szCs w:val="24"/>
        </w:rPr>
        <w:t>建设规模：项目起于咸宁市通山县南林桥镇南林桥枢纽互通立交，接已通车的咸通高速公路和杭瑞高速公路，经杨芳林乡、厦铺镇、闯王镇，止于九宫山二号隧道(鄂赣省界)，与通山至武宁高速公路江西段相接。项目全长约46.7公里（含九宫山2号特长隧道，左线长为3356.454m，右线长3385.834m），采用双向四车道高速公路标准，设计速度100公里/小时，路基宽度26米</w:t>
      </w:r>
      <w:r>
        <w:rPr>
          <w:rFonts w:hint="eastAsia" w:ascii="Times New Roman" w:hAnsi="Times New Roman"/>
          <w:sz w:val="24"/>
          <w:szCs w:val="24"/>
          <w:lang w:val="en-US" w:eastAsia="zh-CN"/>
        </w:rPr>
        <w:t>,</w:t>
      </w:r>
      <w:r>
        <w:rPr>
          <w:rFonts w:hint="eastAsia" w:ascii="Times New Roman" w:hAnsi="Times New Roman"/>
          <w:sz w:val="24"/>
          <w:szCs w:val="24"/>
        </w:rPr>
        <w:t xml:space="preserve">全线 </w:t>
      </w:r>
      <w:r>
        <w:rPr>
          <w:rFonts w:hint="eastAsia" w:ascii="Times New Roman" w:hAnsi="Times New Roman"/>
          <w:sz w:val="24"/>
          <w:szCs w:val="24"/>
          <w:lang w:val="en-US" w:eastAsia="zh-CN"/>
        </w:rPr>
        <w:t>存有</w:t>
      </w:r>
      <w:r>
        <w:rPr>
          <w:rFonts w:hint="eastAsia" w:ascii="Times New Roman" w:hAnsi="Times New Roman"/>
          <w:sz w:val="24"/>
          <w:szCs w:val="24"/>
        </w:rPr>
        <w:t>49 处深路堑、32 处高路堤及 23 处隧道洞口边仰坡，共 104 处边坡。其他技术指标按《公路工程技术标准》(JTG B01-2014)的相关规定执行。项目估算总投资为71.04亿元</w:t>
      </w:r>
      <w:r>
        <w:rPr>
          <w:rFonts w:hint="eastAsia" w:ascii="Times New Roman" w:hAnsi="Times New Roman"/>
          <w:sz w:val="24"/>
          <w:szCs w:val="24"/>
          <w:lang w:eastAsia="zh-CN"/>
        </w:rPr>
        <w:t>。</w:t>
      </w:r>
    </w:p>
    <w:p w14:paraId="3D581F65">
      <w:pPr>
        <w:spacing w:line="360" w:lineRule="auto"/>
        <w:ind w:firstLine="480" w:firstLineChars="200"/>
        <w:jc w:val="left"/>
        <w:rPr>
          <w:rFonts w:hint="eastAsia" w:ascii="Times New Roman" w:hAnsi="Times New Roman"/>
          <w:sz w:val="24"/>
          <w:szCs w:val="24"/>
        </w:rPr>
      </w:pPr>
      <w:r>
        <w:rPr>
          <w:rFonts w:hint="eastAsia" w:ascii="Times New Roman" w:hAnsi="Times New Roman"/>
          <w:sz w:val="24"/>
          <w:szCs w:val="24"/>
        </w:rPr>
        <w:t>其他：/。</w:t>
      </w:r>
    </w:p>
    <w:p w14:paraId="1E9F0922">
      <w:pPr>
        <w:spacing w:line="360" w:lineRule="auto"/>
        <w:ind w:firstLine="480" w:firstLineChars="200"/>
        <w:jc w:val="left"/>
        <w:rPr>
          <w:rFonts w:ascii="Times New Roman" w:hAnsi="Times New Roman"/>
          <w:sz w:val="24"/>
          <w:szCs w:val="24"/>
        </w:rPr>
      </w:pPr>
      <w:r>
        <w:rPr>
          <w:rFonts w:ascii="Times New Roman" w:hAnsi="Times New Roman"/>
          <w:sz w:val="24"/>
          <w:szCs w:val="24"/>
        </w:rPr>
        <w:t>2.2招标范围</w:t>
      </w:r>
    </w:p>
    <w:p w14:paraId="070C0D52">
      <w:pPr>
        <w:numPr>
          <w:ilvl w:val="0"/>
          <w:numId w:val="0"/>
        </w:numPr>
        <w:spacing w:line="360" w:lineRule="auto"/>
        <w:ind w:firstLine="480" w:firstLineChars="200"/>
        <w:rPr>
          <w:rFonts w:hint="eastAsia" w:ascii="Times New Roman" w:hAnsi="Times New Roman" w:eastAsia="宋体"/>
          <w:sz w:val="24"/>
          <w:szCs w:val="24"/>
          <w:lang w:eastAsia="zh-CN"/>
        </w:rPr>
      </w:pPr>
      <w:r>
        <w:rPr>
          <w:rFonts w:ascii="Times New Roman" w:hAnsi="Times New Roman"/>
          <w:sz w:val="24"/>
          <w:szCs w:val="24"/>
        </w:rPr>
        <w:t>招标范围：本</w:t>
      </w:r>
      <w:r>
        <w:rPr>
          <w:rFonts w:hint="eastAsia" w:ascii="Times New Roman" w:hAnsi="Times New Roman"/>
          <w:sz w:val="24"/>
          <w:szCs w:val="24"/>
        </w:rPr>
        <w:t>标段范围内</w:t>
      </w:r>
      <w:r>
        <w:rPr>
          <w:rFonts w:ascii="Times New Roman" w:hAnsi="Times New Roman"/>
          <w:sz w:val="24"/>
          <w:szCs w:val="24"/>
        </w:rPr>
        <w:t>的</w:t>
      </w:r>
      <w:r>
        <w:rPr>
          <w:rFonts w:hint="eastAsia" w:ascii="Times New Roman" w:hAnsi="Times New Roman"/>
          <w:sz w:val="24"/>
          <w:szCs w:val="24"/>
          <w:lang w:eastAsia="zh-CN"/>
        </w:rPr>
        <w:t>试运营期高边坡监测服务</w:t>
      </w:r>
      <w:r>
        <w:rPr>
          <w:rFonts w:hint="eastAsia" w:ascii="Times New Roman" w:hAnsi="Times New Roman"/>
          <w:sz w:val="24"/>
          <w:szCs w:val="24"/>
        </w:rPr>
        <w:t>工作</w:t>
      </w:r>
      <w:r>
        <w:rPr>
          <w:rFonts w:hint="eastAsia" w:ascii="Times New Roman" w:hAnsi="Times New Roman" w:eastAsia="宋体"/>
          <w:sz w:val="24"/>
          <w:szCs w:val="24"/>
          <w:lang w:eastAsia="zh-CN"/>
        </w:rPr>
        <w:t>。（具体内容详见</w:t>
      </w:r>
      <w:r>
        <w:rPr>
          <w:rFonts w:hint="eastAsia" w:ascii="Times New Roman" w:hAnsi="Times New Roman" w:eastAsia="宋体"/>
          <w:sz w:val="24"/>
          <w:szCs w:val="24"/>
          <w:lang w:val="en-US" w:eastAsia="zh-CN"/>
        </w:rPr>
        <w:t>第五章</w:t>
      </w:r>
      <w:r>
        <w:rPr>
          <w:rFonts w:hint="eastAsia" w:ascii="Times New Roman" w:hAnsi="Times New Roman" w:eastAsia="宋体"/>
          <w:sz w:val="24"/>
          <w:szCs w:val="24"/>
          <w:lang w:eastAsia="zh-CN"/>
        </w:rPr>
        <w:t>招标人要求）。</w:t>
      </w:r>
    </w:p>
    <w:p w14:paraId="2C81E57B">
      <w:pPr>
        <w:numPr>
          <w:ilvl w:val="0"/>
          <w:numId w:val="0"/>
        </w:numPr>
        <w:spacing w:line="360" w:lineRule="auto"/>
        <w:ind w:firstLine="480" w:firstLineChars="200"/>
        <w:jc w:val="left"/>
        <w:rPr>
          <w:rFonts w:ascii="Times New Roman" w:hAnsi="Times New Roman"/>
          <w:sz w:val="24"/>
          <w:szCs w:val="24"/>
        </w:rPr>
      </w:pPr>
      <w:r>
        <w:rPr>
          <w:rFonts w:ascii="Times New Roman" w:hAnsi="Times New Roman"/>
          <w:sz w:val="24"/>
          <w:szCs w:val="24"/>
        </w:rPr>
        <w:t>标段划分：本次招标划分</w:t>
      </w:r>
      <w:r>
        <w:rPr>
          <w:rFonts w:hint="eastAsia" w:ascii="Times New Roman" w:hAnsi="Times New Roman"/>
          <w:sz w:val="24"/>
          <w:szCs w:val="24"/>
          <w:lang w:val="en-US" w:eastAsia="zh-CN"/>
        </w:rPr>
        <w:t>1</w:t>
      </w:r>
      <w:r>
        <w:rPr>
          <w:rFonts w:ascii="Times New Roman" w:hAnsi="Times New Roman"/>
          <w:sz w:val="24"/>
          <w:szCs w:val="24"/>
        </w:rPr>
        <w:t>个标段，标段名称：</w:t>
      </w:r>
      <w:r>
        <w:rPr>
          <w:rFonts w:hint="eastAsia" w:ascii="Times New Roman" w:hAnsi="Times New Roman"/>
          <w:kern w:val="2"/>
          <w:sz w:val="24"/>
          <w:szCs w:val="24"/>
          <w:lang w:eastAsia="zh-CN"/>
        </w:rPr>
        <w:t>TWBPJC-1</w:t>
      </w:r>
      <w:r>
        <w:rPr>
          <w:rFonts w:ascii="Times New Roman" w:hAnsi="Times New Roman"/>
          <w:sz w:val="24"/>
          <w:szCs w:val="24"/>
        </w:rPr>
        <w:t>标段。</w:t>
      </w:r>
    </w:p>
    <w:p w14:paraId="70005DF9">
      <w:pPr>
        <w:numPr>
          <w:ilvl w:val="0"/>
          <w:numId w:val="0"/>
        </w:numPr>
        <w:spacing w:line="360" w:lineRule="auto"/>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高边坡监测统计表</w:t>
      </w:r>
      <w:r>
        <w:rPr>
          <w:rFonts w:ascii="Times New Roman" w:hAnsi="Times New Roman"/>
          <w:sz w:val="24"/>
          <w:szCs w:val="24"/>
          <w:highlight w:val="none"/>
        </w:rPr>
        <w:t>详见附录</w:t>
      </w:r>
      <w:r>
        <w:rPr>
          <w:rFonts w:hint="eastAsia" w:ascii="Times New Roman" w:hAnsi="Times New Roman"/>
          <w:sz w:val="24"/>
          <w:szCs w:val="24"/>
          <w:highlight w:val="none"/>
          <w:lang w:val="en-US" w:eastAsia="zh-CN"/>
        </w:rPr>
        <w:t>6</w:t>
      </w:r>
    </w:p>
    <w:p w14:paraId="41CC0AC1">
      <w:pPr>
        <w:spacing w:line="360" w:lineRule="auto"/>
        <w:ind w:firstLine="480" w:firstLineChars="200"/>
        <w:jc w:val="left"/>
        <w:rPr>
          <w:rFonts w:hint="eastAsia" w:ascii="Times New Roman" w:hAnsi="Times New Roman"/>
          <w:sz w:val="24"/>
          <w:szCs w:val="24"/>
          <w:highlight w:val="none"/>
        </w:rPr>
      </w:pPr>
      <w:r>
        <w:rPr>
          <w:rFonts w:ascii="Times New Roman" w:hAnsi="Times New Roman"/>
          <w:sz w:val="24"/>
          <w:szCs w:val="24"/>
          <w:highlight w:val="none"/>
        </w:rPr>
        <w:t>计划工期</w:t>
      </w:r>
      <w:r>
        <w:rPr>
          <w:rFonts w:hint="eastAsia" w:ascii="Times New Roman" w:hAnsi="Times New Roman"/>
          <w:sz w:val="24"/>
          <w:szCs w:val="24"/>
          <w:highlight w:val="none"/>
          <w:lang w:eastAsia="zh-CN"/>
        </w:rPr>
        <w:t>：</w:t>
      </w:r>
      <w:r>
        <w:rPr>
          <w:rFonts w:hint="eastAsia" w:ascii="Times New Roman" w:hAnsi="Times New Roman"/>
          <w:sz w:val="24"/>
          <w:szCs w:val="24"/>
          <w:highlight w:val="none"/>
          <w:lang w:val="en-US" w:eastAsia="zh-CN"/>
        </w:rPr>
        <w:t>820</w:t>
      </w:r>
      <w:r>
        <w:rPr>
          <w:rFonts w:ascii="Times New Roman" w:hAnsi="Times New Roman"/>
          <w:sz w:val="24"/>
          <w:szCs w:val="24"/>
          <w:highlight w:val="none"/>
        </w:rPr>
        <w:t>日历天，计划开工日期202</w:t>
      </w:r>
      <w:r>
        <w:rPr>
          <w:rFonts w:hint="eastAsia" w:ascii="Times New Roman" w:hAnsi="Times New Roman"/>
          <w:sz w:val="24"/>
          <w:szCs w:val="24"/>
          <w:highlight w:val="none"/>
          <w:lang w:val="en-US" w:eastAsia="zh-CN"/>
        </w:rPr>
        <w:t xml:space="preserve">6-10 </w:t>
      </w:r>
      <w:r>
        <w:rPr>
          <w:rFonts w:hint="eastAsia" w:ascii="Times New Roman" w:hAnsi="Times New Roman"/>
          <w:sz w:val="24"/>
          <w:szCs w:val="24"/>
          <w:highlight w:val="none"/>
          <w:lang w:eastAsia="zh-CN"/>
        </w:rPr>
        <w:t>。</w:t>
      </w:r>
    </w:p>
    <w:p w14:paraId="497AD680">
      <w:pPr>
        <w:spacing w:line="360" w:lineRule="auto"/>
        <w:ind w:firstLine="480" w:firstLineChars="200"/>
        <w:jc w:val="left"/>
        <w:rPr>
          <w:rFonts w:ascii="Times New Roman" w:hAnsi="Times New Roman"/>
          <w:sz w:val="24"/>
          <w:szCs w:val="24"/>
        </w:rPr>
      </w:pPr>
      <w:r>
        <w:rPr>
          <w:rFonts w:ascii="Times New Roman" w:hAnsi="Times New Roman"/>
          <w:sz w:val="24"/>
          <w:szCs w:val="24"/>
          <w:highlight w:val="none"/>
        </w:rPr>
        <w:t>合同估算价：</w:t>
      </w:r>
      <w:r>
        <w:rPr>
          <w:rFonts w:hint="eastAsia" w:ascii="Times New Roman" w:hAnsi="Times New Roman"/>
          <w:sz w:val="24"/>
          <w:szCs w:val="24"/>
          <w:lang w:val="en-US" w:eastAsia="zh-CN"/>
        </w:rPr>
        <w:t>190</w:t>
      </w:r>
      <w:r>
        <w:rPr>
          <w:rFonts w:ascii="Times New Roman" w:hAnsi="Times New Roman"/>
          <w:sz w:val="24"/>
          <w:szCs w:val="24"/>
          <w:highlight w:val="none"/>
        </w:rPr>
        <w:t>万元</w:t>
      </w:r>
      <w:r>
        <w:rPr>
          <w:rFonts w:hint="default" w:ascii="Times New Roman" w:hAnsi="Times New Roman"/>
          <w:sz w:val="24"/>
          <w:szCs w:val="24"/>
          <w:highlight w:val="none"/>
          <w:lang w:eastAsia="zh-CN"/>
        </w:rPr>
        <w:t>。</w:t>
      </w:r>
    </w:p>
    <w:p w14:paraId="02CC8295">
      <w:pPr>
        <w:spacing w:line="360" w:lineRule="auto"/>
        <w:ind w:firstLine="480" w:firstLineChars="200"/>
        <w:jc w:val="left"/>
        <w:rPr>
          <w:rFonts w:ascii="Times New Roman" w:hAnsi="Times New Roman"/>
          <w:sz w:val="24"/>
          <w:szCs w:val="24"/>
        </w:rPr>
      </w:pPr>
      <w:r>
        <w:rPr>
          <w:rFonts w:ascii="Times New Roman" w:hAnsi="Times New Roman"/>
          <w:sz w:val="24"/>
          <w:szCs w:val="24"/>
        </w:rPr>
        <w:t>2.3其他：</w:t>
      </w:r>
      <w:r>
        <w:rPr>
          <w:rFonts w:hint="eastAsia" w:ascii="Times New Roman" w:hAnsi="Times New Roman"/>
          <w:sz w:val="24"/>
          <w:szCs w:val="24"/>
          <w:highlight w:val="none"/>
        </w:rPr>
        <w:t>本条第2.2款中的计划工期即投标函中的服务期限。</w:t>
      </w:r>
      <w:r>
        <w:rPr>
          <w:rFonts w:ascii="Times New Roman" w:hAnsi="Times New Roman"/>
          <w:sz w:val="24"/>
          <w:szCs w:val="24"/>
          <w:highlight w:val="none"/>
        </w:rPr>
        <w:t>预计服务期为</w:t>
      </w:r>
      <w:r>
        <w:rPr>
          <w:rFonts w:hint="eastAsia" w:ascii="Times New Roman" w:hAnsi="Times New Roman"/>
          <w:sz w:val="24"/>
          <w:szCs w:val="24"/>
          <w:highlight w:val="none"/>
          <w:lang w:val="en-US" w:eastAsia="zh-CN"/>
        </w:rPr>
        <w:t>820</w:t>
      </w:r>
      <w:r>
        <w:rPr>
          <w:rFonts w:ascii="Times New Roman" w:hAnsi="Times New Roman"/>
          <w:sz w:val="24"/>
          <w:szCs w:val="24"/>
          <w:highlight w:val="none"/>
        </w:rPr>
        <w:t>日历天，</w:t>
      </w:r>
      <w:r>
        <w:rPr>
          <w:rFonts w:hint="eastAsia" w:ascii="Times New Roman" w:hAnsi="Times New Roman"/>
          <w:sz w:val="24"/>
          <w:szCs w:val="24"/>
          <w:highlight w:val="none"/>
        </w:rPr>
        <w:t>其中，</w:t>
      </w:r>
      <w:r>
        <w:rPr>
          <w:rFonts w:hint="eastAsia" w:ascii="Times New Roman" w:hAnsi="Times New Roman" w:eastAsia="宋体" w:cs="Times New Roman"/>
          <w:bCs w:val="0"/>
          <w:sz w:val="24"/>
          <w:szCs w:val="24"/>
          <w:highlight w:val="none"/>
        </w:rPr>
        <w:t>边坡监测系统建设</w:t>
      </w:r>
      <w:r>
        <w:rPr>
          <w:rFonts w:hint="eastAsia" w:ascii="Times New Roman" w:hAnsi="Times New Roman" w:cs="Times New Roman"/>
          <w:bCs w:val="0"/>
          <w:sz w:val="24"/>
          <w:szCs w:val="24"/>
          <w:highlight w:val="none"/>
          <w:lang w:val="en-US" w:eastAsia="zh-CN"/>
        </w:rPr>
        <w:t>并通过验收</w:t>
      </w:r>
      <w:r>
        <w:rPr>
          <w:rFonts w:hint="eastAsia" w:ascii="Times New Roman" w:hAnsi="Times New Roman"/>
          <w:sz w:val="24"/>
          <w:szCs w:val="24"/>
          <w:highlight w:val="none"/>
        </w:rPr>
        <w:t>90日历天；运行维护、数据分析的履行期7</w:t>
      </w:r>
      <w:r>
        <w:rPr>
          <w:rFonts w:hint="eastAsia" w:ascii="Times New Roman" w:hAnsi="Times New Roman"/>
          <w:sz w:val="24"/>
          <w:szCs w:val="24"/>
          <w:highlight w:val="none"/>
          <w:lang w:val="en-US" w:eastAsia="zh-CN"/>
        </w:rPr>
        <w:t>3</w:t>
      </w:r>
      <w:r>
        <w:rPr>
          <w:rFonts w:hint="eastAsia" w:ascii="Times New Roman" w:hAnsi="Times New Roman"/>
          <w:sz w:val="24"/>
          <w:szCs w:val="24"/>
          <w:highlight w:val="none"/>
        </w:rPr>
        <w:t>0日历天（从监测点建设验收通过之日起计算）</w:t>
      </w:r>
      <w:r>
        <w:rPr>
          <w:rFonts w:hint="eastAsia" w:ascii="Times New Roman" w:hAnsi="Times New Roman"/>
          <w:sz w:val="24"/>
          <w:szCs w:val="24"/>
          <w:highlight w:val="none"/>
          <w:lang w:eastAsia="zh-CN"/>
        </w:rPr>
        <w:t>。</w:t>
      </w:r>
      <w:r>
        <w:rPr>
          <w:rFonts w:ascii="Times New Roman" w:hAnsi="Times New Roman"/>
          <w:sz w:val="24"/>
          <w:szCs w:val="24"/>
          <w:highlight w:val="none"/>
        </w:rPr>
        <w:t>服务预计开始时间为202</w:t>
      </w:r>
      <w:r>
        <w:rPr>
          <w:rFonts w:hint="eastAsia" w:ascii="Times New Roman" w:hAnsi="Times New Roman"/>
          <w:sz w:val="24"/>
          <w:szCs w:val="24"/>
          <w:highlight w:val="none"/>
          <w:lang w:val="en-US" w:eastAsia="zh-CN"/>
        </w:rPr>
        <w:t>6</w:t>
      </w:r>
      <w:r>
        <w:rPr>
          <w:rFonts w:ascii="Times New Roman" w:hAnsi="Times New Roman"/>
          <w:sz w:val="24"/>
          <w:szCs w:val="24"/>
          <w:highlight w:val="none"/>
        </w:rPr>
        <w:t>年</w:t>
      </w:r>
      <w:r>
        <w:rPr>
          <w:rFonts w:hint="eastAsia" w:ascii="Times New Roman" w:hAnsi="Times New Roman"/>
          <w:sz w:val="24"/>
          <w:szCs w:val="24"/>
          <w:highlight w:val="none"/>
          <w:lang w:val="en-US" w:eastAsia="zh-CN"/>
        </w:rPr>
        <w:t>10</w:t>
      </w:r>
      <w:r>
        <w:rPr>
          <w:rFonts w:ascii="Times New Roman" w:hAnsi="Times New Roman"/>
          <w:sz w:val="24"/>
          <w:szCs w:val="24"/>
          <w:highlight w:val="none"/>
        </w:rPr>
        <w:t>月</w:t>
      </w:r>
      <w:r>
        <w:rPr>
          <w:rFonts w:hint="eastAsia" w:ascii="Times New Roman" w:hAnsi="Times New Roman"/>
          <w:sz w:val="24"/>
          <w:szCs w:val="24"/>
          <w:highlight w:val="none"/>
          <w:lang w:val="en-US" w:eastAsia="zh-CN"/>
        </w:rPr>
        <w:t>(</w:t>
      </w:r>
      <w:r>
        <w:rPr>
          <w:rFonts w:hint="eastAsia" w:ascii="Times New Roman" w:hAnsi="Times New Roman"/>
          <w:sz w:val="24"/>
          <w:szCs w:val="24"/>
        </w:rPr>
        <w:t>具体服务期开始时间以招标人通知为准，服务期至本项目缺陷责任期满之日止</w:t>
      </w:r>
      <w:r>
        <w:rPr>
          <w:rFonts w:hint="eastAsia" w:ascii="Times New Roman" w:hAnsi="Times New Roman"/>
          <w:sz w:val="24"/>
          <w:szCs w:val="24"/>
          <w:lang w:val="en-US" w:eastAsia="zh-CN"/>
        </w:rPr>
        <w:t>)</w:t>
      </w:r>
      <w:r>
        <w:rPr>
          <w:rFonts w:ascii="Times New Roman" w:hAnsi="Times New Roman"/>
          <w:sz w:val="24"/>
          <w:szCs w:val="24"/>
        </w:rPr>
        <w:t>。</w:t>
      </w:r>
    </w:p>
    <w:p w14:paraId="7CE7431E">
      <w:pPr>
        <w:widowControl/>
        <w:spacing w:line="360" w:lineRule="auto"/>
        <w:jc w:val="left"/>
        <w:outlineLvl w:val="1"/>
        <w:rPr>
          <w:rFonts w:ascii="Times New Roman" w:hAnsi="Times New Roman"/>
          <w:b/>
          <w:bCs/>
          <w:kern w:val="0"/>
          <w:sz w:val="24"/>
          <w:szCs w:val="24"/>
        </w:rPr>
      </w:pPr>
      <w:bookmarkStart w:id="16" w:name="_Toc19420"/>
      <w:r>
        <w:rPr>
          <w:rFonts w:ascii="Times New Roman" w:hAnsi="Times New Roman"/>
          <w:b/>
          <w:bCs/>
          <w:kern w:val="0"/>
          <w:sz w:val="24"/>
          <w:szCs w:val="24"/>
        </w:rPr>
        <w:t>3.投标人资格要求</w:t>
      </w:r>
      <w:bookmarkEnd w:id="16"/>
    </w:p>
    <w:p w14:paraId="4DD7040F">
      <w:pPr>
        <w:spacing w:line="360" w:lineRule="auto"/>
        <w:ind w:firstLine="480" w:firstLineChars="200"/>
        <w:jc w:val="left"/>
        <w:rPr>
          <w:rFonts w:ascii="Times New Roman" w:hAnsi="Times New Roman"/>
          <w:sz w:val="24"/>
          <w:szCs w:val="24"/>
        </w:rPr>
      </w:pPr>
      <w:r>
        <w:rPr>
          <w:rFonts w:ascii="Times New Roman" w:hAnsi="Times New Roman"/>
          <w:sz w:val="24"/>
          <w:szCs w:val="24"/>
        </w:rPr>
        <w:t>3.1本标段招标要求投标人须具备：最低资格条件见招标公告附录，并在人员、履约信誉等方面满足招标文件的要求。</w:t>
      </w:r>
    </w:p>
    <w:p w14:paraId="093DEFF6">
      <w:pPr>
        <w:spacing w:line="360" w:lineRule="auto"/>
        <w:ind w:firstLine="480" w:firstLineChars="200"/>
        <w:jc w:val="left"/>
        <w:rPr>
          <w:rFonts w:ascii="Times New Roman" w:hAnsi="Times New Roman"/>
          <w:sz w:val="24"/>
          <w:szCs w:val="24"/>
        </w:rPr>
      </w:pPr>
      <w:r>
        <w:rPr>
          <w:rFonts w:ascii="Times New Roman" w:hAnsi="Times New Roman"/>
          <w:sz w:val="24"/>
          <w:szCs w:val="24"/>
        </w:rPr>
        <w:t>3.2本标段</w:t>
      </w:r>
      <w:r>
        <w:rPr>
          <w:rFonts w:ascii="Times New Roman" w:hAnsi="Times New Roman"/>
          <w:sz w:val="24"/>
          <w:szCs w:val="24"/>
          <w:highlight w:val="none"/>
        </w:rPr>
        <w:t>不接受联合体投标</w:t>
      </w:r>
      <w:r>
        <w:rPr>
          <w:rFonts w:ascii="Times New Roman" w:hAnsi="Times New Roman"/>
          <w:sz w:val="24"/>
          <w:szCs w:val="24"/>
        </w:rPr>
        <w:t>。</w:t>
      </w:r>
    </w:p>
    <w:p w14:paraId="15C555F6">
      <w:pPr>
        <w:spacing w:line="360" w:lineRule="auto"/>
        <w:ind w:firstLine="480" w:firstLineChars="200"/>
        <w:jc w:val="left"/>
        <w:rPr>
          <w:rFonts w:hint="eastAsia" w:ascii="Times New Roman" w:hAnsi="Times New Roman"/>
          <w:sz w:val="24"/>
          <w:szCs w:val="24"/>
          <w:highlight w:val="none"/>
        </w:rPr>
      </w:pPr>
      <w:r>
        <w:rPr>
          <w:rFonts w:ascii="Times New Roman" w:hAnsi="Times New Roman"/>
          <w:sz w:val="24"/>
          <w:szCs w:val="24"/>
        </w:rPr>
        <w:t>3.3</w:t>
      </w:r>
      <w:r>
        <w:rPr>
          <w:rFonts w:hint="eastAsia" w:ascii="Times New Roman" w:hAnsi="Times New Roman"/>
          <w:sz w:val="24"/>
          <w:szCs w:val="24"/>
        </w:rPr>
        <w:t xml:space="preserve">各投标人均可就本招标项目上述标段中的 </w:t>
      </w:r>
      <w:r>
        <w:rPr>
          <w:rFonts w:hint="eastAsia" w:ascii="Times New Roman" w:hAnsi="Times New Roman"/>
          <w:sz w:val="24"/>
          <w:szCs w:val="24"/>
          <w:lang w:val="en-US" w:eastAsia="zh-CN"/>
        </w:rPr>
        <w:t>1</w:t>
      </w:r>
      <w:r>
        <w:rPr>
          <w:rFonts w:hint="eastAsia" w:ascii="Times New Roman" w:hAnsi="Times New Roman"/>
          <w:sz w:val="24"/>
          <w:szCs w:val="24"/>
        </w:rPr>
        <w:t xml:space="preserve"> (具体数量)个标段投标且允许中1个标段。</w:t>
      </w:r>
    </w:p>
    <w:p w14:paraId="52DCA9EC">
      <w:pPr>
        <w:spacing w:line="360" w:lineRule="auto"/>
        <w:ind w:firstLine="480" w:firstLineChars="200"/>
        <w:jc w:val="left"/>
        <w:rPr>
          <w:rFonts w:ascii="Times New Roman" w:hAnsi="Times New Roman"/>
          <w:sz w:val="24"/>
          <w:szCs w:val="24"/>
          <w:highlight w:val="none"/>
        </w:rPr>
      </w:pPr>
      <w:r>
        <w:rPr>
          <w:rFonts w:ascii="Times New Roman" w:hAnsi="Times New Roman"/>
          <w:sz w:val="24"/>
          <w:szCs w:val="24"/>
          <w:highlight w:val="none"/>
        </w:rPr>
        <w:t>3.4本次招标本项目不属于政府采购工程。</w:t>
      </w:r>
    </w:p>
    <w:p w14:paraId="04B22C4F">
      <w:pPr>
        <w:spacing w:line="360" w:lineRule="auto"/>
        <w:ind w:firstLine="480" w:firstLineChars="200"/>
        <w:jc w:val="left"/>
        <w:rPr>
          <w:rFonts w:ascii="Times New Roman" w:hAnsi="Times New Roman"/>
          <w:sz w:val="24"/>
          <w:szCs w:val="24"/>
          <w:highlight w:val="none"/>
        </w:rPr>
      </w:pPr>
      <w:r>
        <w:rPr>
          <w:rFonts w:ascii="Times New Roman" w:hAnsi="Times New Roman"/>
          <w:sz w:val="24"/>
          <w:szCs w:val="24"/>
          <w:highlight w:val="none"/>
        </w:rPr>
        <w:t>3.5本项目属性：/</w:t>
      </w:r>
    </w:p>
    <w:p w14:paraId="4D8578B1">
      <w:pPr>
        <w:spacing w:line="360" w:lineRule="auto"/>
        <w:ind w:firstLine="480" w:firstLineChars="200"/>
        <w:jc w:val="left"/>
        <w:rPr>
          <w:rFonts w:hint="eastAsia" w:ascii="Times New Roman" w:hAnsi="Times New Roman"/>
          <w:sz w:val="24"/>
          <w:szCs w:val="24"/>
          <w:highlight w:val="none"/>
        </w:rPr>
      </w:pPr>
      <w:r>
        <w:rPr>
          <w:rFonts w:ascii="Times New Roman" w:hAnsi="Times New Roman"/>
          <w:sz w:val="24"/>
          <w:szCs w:val="24"/>
          <w:highlight w:val="none"/>
        </w:rPr>
        <w:t>3.6其它要求：</w:t>
      </w:r>
      <w:r>
        <w:rPr>
          <w:rFonts w:hint="eastAsia" w:ascii="Times New Roman" w:hAnsi="Times New Roman"/>
          <w:sz w:val="24"/>
          <w:szCs w:val="24"/>
          <w:highlight w:val="none"/>
        </w:rPr>
        <w:t>（1）单位负责人为同一人的不同单位，不得参加同一标段投标。</w:t>
      </w:r>
    </w:p>
    <w:p w14:paraId="4AAC5CFB">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（2）存在控股关系的不同单位，不得参加同一标段投标。</w:t>
      </w:r>
    </w:p>
    <w:p w14:paraId="181A28F5">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（3）存在管理关系的不同单位，不得参加同一标段投标。</w:t>
      </w:r>
    </w:p>
    <w:p w14:paraId="66C8C357">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注：前述单位负责人指营业执照上标明的法定代表人；前述管理关系是指非股权关系的不同单位之间存在的管理与被管理关系。前述控股关系主要包括以下情形：</w:t>
      </w:r>
    </w:p>
    <w:p w14:paraId="5A075CE1">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①根据《公司法》第二百六十五条第（二）款之规定：出资额占有限责任公司资本总额超过百分之五十或者持有的股份占股份有限公司股本总额超过百分之五十。</w:t>
      </w:r>
    </w:p>
    <w:p w14:paraId="06B5D567">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例1：A公司持有B公司股权超过50％（以50.5％为例），此时A公司和B公司不得同时参与本项目同一标段投标；例2：A公司持有B公司股权超过50％（以50.5％为例），B公司持有C公司股权超过50％（以50.5％为例），此时A公司和C公司也不得同时参与本项目同一标段投标。</w:t>
      </w:r>
    </w:p>
    <w:p w14:paraId="60F886C7">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②A公司和B公司分别持有C公司50％股份，A公司与C公司同时参与本项目同一标段投标时，应提供A公司不是C公司控股股东的证明材料，否则A公司不得与C公司同时参与本项目同一标段投标。</w:t>
      </w:r>
    </w:p>
    <w:p w14:paraId="385B2C29">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③根据《公司法》第二百六十五条第（二）款之规定：出资额或者持有股份的比例虽然低于百分之五十，但依其出资额或者持有的股份所享有的表决权已足以对股东会的决议产生重大影响的股东。</w:t>
      </w:r>
    </w:p>
    <w:p w14:paraId="783AFD46">
      <w:pPr>
        <w:spacing w:line="360" w:lineRule="auto"/>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例：A公司持有D公司49％出资额或股份，B公司持有D公司31％出资额或股份，C公司持有D公司20％出资额或股份。以A公司和B公司为例，若B公司将其持有对D公司的表决权委托或授权A公司，使得A公司和B公司的持有D公司的出资额或股份总和（49％＋31％＝80％）大于50％，此时A公司不得与D公司同时参与本项目同一标段投标。</w:t>
      </w:r>
    </w:p>
    <w:p w14:paraId="4216FBA1">
      <w:pPr>
        <w:widowControl/>
        <w:spacing w:line="360" w:lineRule="auto"/>
        <w:jc w:val="left"/>
        <w:outlineLvl w:val="1"/>
        <w:rPr>
          <w:rFonts w:ascii="Times New Roman" w:hAnsi="Times New Roman"/>
          <w:b/>
          <w:bCs/>
          <w:kern w:val="0"/>
          <w:sz w:val="24"/>
          <w:szCs w:val="24"/>
        </w:rPr>
      </w:pPr>
      <w:bookmarkStart w:id="17" w:name="_Toc14057"/>
      <w:r>
        <w:rPr>
          <w:rFonts w:ascii="Times New Roman" w:hAnsi="Times New Roman"/>
          <w:b/>
          <w:bCs/>
          <w:kern w:val="0"/>
          <w:sz w:val="24"/>
          <w:szCs w:val="24"/>
        </w:rPr>
        <w:t>4.招标文件的获取</w:t>
      </w:r>
      <w:bookmarkEnd w:id="17"/>
    </w:p>
    <w:p w14:paraId="00B37C4F">
      <w:pPr>
        <w:spacing w:line="360" w:lineRule="auto"/>
        <w:ind w:firstLine="480" w:firstLineChars="200"/>
        <w:jc w:val="left"/>
        <w:rPr>
          <w:rFonts w:ascii="Times New Roman" w:hAnsi="Times New Roman"/>
          <w:sz w:val="24"/>
          <w:szCs w:val="24"/>
        </w:rPr>
      </w:pPr>
      <w:r>
        <w:rPr>
          <w:rFonts w:ascii="Times New Roman" w:hAnsi="Times New Roman"/>
          <w:sz w:val="24"/>
          <w:szCs w:val="24"/>
        </w:rPr>
        <w:t xml:space="preserve">4.1 </w:t>
      </w:r>
      <w:r>
        <w:rPr>
          <w:rFonts w:hint="eastAsia" w:ascii="Times New Roman" w:hAnsi="Times New Roman"/>
          <w:sz w:val="24"/>
          <w:szCs w:val="24"/>
        </w:rPr>
        <w:t>凡有意参加投标者(若为联合体投标，指联合体所有成员)，应当在湖北省电子招投标交易平台（以下简称“电子交易平台”，下同）（网址：www.hbbidcloud.cn）进行注册登记，并下载移动数字证书（CA）、电子营业执照或办理实体数字证书（CA）（具体操作参见“电子交易平台”—办事指南—交易主体注册登记指南）</w:t>
      </w:r>
      <w:r>
        <w:rPr>
          <w:rFonts w:ascii="Times New Roman" w:hAnsi="Times New Roman"/>
          <w:sz w:val="24"/>
          <w:szCs w:val="24"/>
        </w:rPr>
        <w:t>。</w:t>
      </w:r>
    </w:p>
    <w:p w14:paraId="4EC36EF2">
      <w:pPr>
        <w:spacing w:line="360" w:lineRule="auto"/>
        <w:ind w:firstLine="480" w:firstLineChars="200"/>
        <w:jc w:val="left"/>
        <w:rPr>
          <w:rFonts w:ascii="Times New Roman" w:hAnsi="Times New Roman"/>
          <w:sz w:val="24"/>
          <w:szCs w:val="24"/>
        </w:rPr>
      </w:pPr>
      <w:r>
        <w:rPr>
          <w:rFonts w:ascii="Times New Roman" w:hAnsi="Times New Roman"/>
          <w:sz w:val="24"/>
          <w:szCs w:val="24"/>
        </w:rPr>
        <w:t xml:space="preserve">4.2 </w:t>
      </w:r>
      <w:r>
        <w:rPr>
          <w:rFonts w:hint="eastAsia" w:ascii="Times New Roman" w:hAnsi="Times New Roman"/>
          <w:sz w:val="24"/>
          <w:szCs w:val="24"/>
        </w:rPr>
        <w:t>完成注册登记后，请于202</w:t>
      </w:r>
      <w:r>
        <w:rPr>
          <w:rFonts w:hint="eastAsia" w:ascii="Times New Roman" w:hAnsi="Times New Roman"/>
          <w:sz w:val="24"/>
          <w:szCs w:val="24"/>
          <w:lang w:val="en-US" w:eastAsia="zh-CN"/>
        </w:rPr>
        <w:t>6</w:t>
      </w:r>
      <w:r>
        <w:rPr>
          <w:rFonts w:hint="eastAsia" w:ascii="Times New Roman" w:hAnsi="Times New Roman"/>
          <w:sz w:val="24"/>
          <w:szCs w:val="24"/>
        </w:rPr>
        <w:t>年</w:t>
      </w:r>
      <w:r>
        <w:rPr>
          <w:rFonts w:hint="eastAsia" w:ascii="Times New Roman" w:hAnsi="Times New Roman"/>
          <w:sz w:val="24"/>
          <w:szCs w:val="24"/>
          <w:lang w:val="en-US" w:eastAsia="zh-CN"/>
        </w:rPr>
        <w:t xml:space="preserve">  </w:t>
      </w:r>
      <w:r>
        <w:rPr>
          <w:rFonts w:hint="eastAsia" w:ascii="Times New Roman" w:hAnsi="Times New Roman"/>
          <w:sz w:val="24"/>
          <w:szCs w:val="24"/>
        </w:rPr>
        <w:t>月</w:t>
      </w:r>
      <w:r>
        <w:rPr>
          <w:rFonts w:hint="eastAsia" w:ascii="Times New Roman" w:hAnsi="Times New Roman"/>
          <w:sz w:val="24"/>
          <w:szCs w:val="24"/>
          <w:lang w:val="en-US" w:eastAsia="zh-CN"/>
        </w:rPr>
        <w:t xml:space="preserve">  </w:t>
      </w:r>
      <w:r>
        <w:rPr>
          <w:rFonts w:hint="eastAsia" w:ascii="Times New Roman" w:hAnsi="Times New Roman"/>
          <w:sz w:val="24"/>
          <w:szCs w:val="24"/>
        </w:rPr>
        <w:t>日至202</w:t>
      </w:r>
      <w:r>
        <w:rPr>
          <w:rFonts w:hint="eastAsia" w:ascii="Times New Roman" w:hAnsi="Times New Roman"/>
          <w:sz w:val="24"/>
          <w:szCs w:val="24"/>
          <w:lang w:val="en-US" w:eastAsia="zh-CN"/>
        </w:rPr>
        <w:t>6</w:t>
      </w:r>
      <w:r>
        <w:rPr>
          <w:rFonts w:hint="eastAsia" w:ascii="Times New Roman" w:hAnsi="Times New Roman"/>
          <w:sz w:val="24"/>
          <w:szCs w:val="24"/>
        </w:rPr>
        <w:t>年</w:t>
      </w:r>
      <w:r>
        <w:rPr>
          <w:rFonts w:hint="eastAsia" w:ascii="Times New Roman" w:hAnsi="Times New Roman"/>
          <w:sz w:val="24"/>
          <w:szCs w:val="24"/>
          <w:lang w:val="en-US" w:eastAsia="zh-CN"/>
        </w:rPr>
        <w:t xml:space="preserve">  </w:t>
      </w:r>
      <w:r>
        <w:rPr>
          <w:rFonts w:hint="eastAsia" w:ascii="Times New Roman" w:hAnsi="Times New Roman"/>
          <w:sz w:val="24"/>
          <w:szCs w:val="24"/>
        </w:rPr>
        <w:t>月</w:t>
      </w:r>
      <w:r>
        <w:rPr>
          <w:rFonts w:hint="eastAsia" w:ascii="Times New Roman" w:hAnsi="Times New Roman"/>
          <w:sz w:val="24"/>
          <w:szCs w:val="24"/>
          <w:lang w:val="en-US" w:eastAsia="zh-CN"/>
        </w:rPr>
        <w:t xml:space="preserve">  </w:t>
      </w:r>
      <w:r>
        <w:rPr>
          <w:rFonts w:hint="eastAsia" w:ascii="Times New Roman" w:hAnsi="Times New Roman"/>
          <w:sz w:val="24"/>
          <w:szCs w:val="24"/>
        </w:rPr>
        <w:t>日24：00时止（北京时间、下同），通过互联网使用移动数字证书（CA）、电子营业执照或办理实体数字证书（CA）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w:t>
      </w:r>
      <w:r>
        <w:rPr>
          <w:rFonts w:ascii="Times New Roman" w:hAnsi="Times New Roman"/>
          <w:sz w:val="24"/>
          <w:szCs w:val="24"/>
        </w:rPr>
        <w:t>。</w:t>
      </w:r>
    </w:p>
    <w:p w14:paraId="4236753E">
      <w:pPr>
        <w:widowControl/>
        <w:spacing w:line="360" w:lineRule="auto"/>
        <w:jc w:val="left"/>
        <w:outlineLvl w:val="1"/>
        <w:rPr>
          <w:rFonts w:ascii="Times New Roman" w:hAnsi="Times New Roman"/>
          <w:b/>
          <w:bCs/>
          <w:kern w:val="0"/>
          <w:sz w:val="24"/>
          <w:szCs w:val="24"/>
        </w:rPr>
      </w:pPr>
      <w:bookmarkStart w:id="18" w:name="_Toc6145"/>
      <w:r>
        <w:rPr>
          <w:rFonts w:ascii="Times New Roman" w:hAnsi="Times New Roman"/>
          <w:b/>
          <w:bCs/>
          <w:kern w:val="0"/>
          <w:sz w:val="24"/>
          <w:szCs w:val="24"/>
        </w:rPr>
        <w:t>5.投标文件的递交</w:t>
      </w:r>
      <w:bookmarkEnd w:id="18"/>
    </w:p>
    <w:p w14:paraId="182B77DE">
      <w:pPr>
        <w:spacing w:line="360" w:lineRule="auto"/>
        <w:ind w:firstLine="480" w:firstLineChars="200"/>
        <w:jc w:val="left"/>
        <w:rPr>
          <w:rFonts w:ascii="Times New Roman" w:hAnsi="Times New Roman"/>
          <w:sz w:val="24"/>
          <w:szCs w:val="24"/>
        </w:rPr>
      </w:pPr>
      <w:r>
        <w:rPr>
          <w:rFonts w:ascii="Times New Roman" w:hAnsi="Times New Roman"/>
          <w:sz w:val="24"/>
          <w:szCs w:val="24"/>
        </w:rPr>
        <w:t>5.1 投标文件递交截止时间为：</w:t>
      </w:r>
      <w:r>
        <w:rPr>
          <w:rFonts w:ascii="Times New Roman" w:hAnsi="Times New Roman"/>
          <w:sz w:val="24"/>
          <w:szCs w:val="24"/>
          <w:highlight w:val="none"/>
        </w:rPr>
        <w:t>202</w:t>
      </w:r>
      <w:r>
        <w:rPr>
          <w:rFonts w:hint="eastAsia" w:ascii="Times New Roman" w:hAnsi="Times New Roman"/>
          <w:sz w:val="24"/>
          <w:szCs w:val="24"/>
          <w:highlight w:val="none"/>
          <w:lang w:val="en-US" w:eastAsia="zh-CN"/>
        </w:rPr>
        <w:t>6</w:t>
      </w:r>
      <w:r>
        <w:rPr>
          <w:rFonts w:ascii="Times New Roman" w:hAnsi="Times New Roman"/>
          <w:sz w:val="24"/>
          <w:szCs w:val="24"/>
          <w:highlight w:val="none"/>
        </w:rPr>
        <w:t>年</w:t>
      </w:r>
      <w:r>
        <w:rPr>
          <w:rFonts w:hint="eastAsia" w:ascii="Times New Roman" w:hAnsi="Times New Roman"/>
          <w:sz w:val="24"/>
          <w:szCs w:val="24"/>
          <w:highlight w:val="none"/>
          <w:lang w:val="en-US" w:eastAsia="zh-CN"/>
        </w:rPr>
        <w:t xml:space="preserve">  </w:t>
      </w:r>
      <w:r>
        <w:rPr>
          <w:rFonts w:ascii="Times New Roman" w:hAnsi="Times New Roman"/>
          <w:sz w:val="24"/>
          <w:szCs w:val="24"/>
          <w:highlight w:val="none"/>
        </w:rPr>
        <w:t>月</w:t>
      </w:r>
      <w:r>
        <w:rPr>
          <w:rFonts w:hint="eastAsia" w:ascii="Times New Roman" w:hAnsi="Times New Roman"/>
          <w:sz w:val="24"/>
          <w:szCs w:val="24"/>
          <w:highlight w:val="none"/>
          <w:lang w:val="en-US" w:eastAsia="zh-CN"/>
        </w:rPr>
        <w:t xml:space="preserve">  </w:t>
      </w:r>
      <w:r>
        <w:rPr>
          <w:rFonts w:ascii="Times New Roman" w:hAnsi="Times New Roman"/>
          <w:sz w:val="24"/>
          <w:szCs w:val="24"/>
          <w:highlight w:val="none"/>
        </w:rPr>
        <w:t>日</w:t>
      </w:r>
      <w:r>
        <w:rPr>
          <w:rFonts w:ascii="Times New Roman" w:hAnsi="Times New Roman"/>
          <w:sz w:val="24"/>
          <w:szCs w:val="24"/>
        </w:rPr>
        <w:t xml:space="preserve"> 09时30分</w:t>
      </w:r>
    </w:p>
    <w:p w14:paraId="6C0C3754">
      <w:pPr>
        <w:spacing w:line="360" w:lineRule="auto"/>
        <w:ind w:firstLine="480" w:firstLineChars="200"/>
        <w:jc w:val="left"/>
        <w:rPr>
          <w:rFonts w:ascii="Times New Roman" w:hAnsi="Times New Roman"/>
          <w:sz w:val="24"/>
          <w:szCs w:val="24"/>
        </w:rPr>
      </w:pPr>
      <w:r>
        <w:rPr>
          <w:rFonts w:ascii="Times New Roman" w:hAnsi="Times New Roman"/>
          <w:sz w:val="24"/>
          <w:szCs w:val="24"/>
        </w:rPr>
        <w:t xml:space="preserve">5.2 </w:t>
      </w:r>
      <w:r>
        <w:rPr>
          <w:rFonts w:hint="eastAsia" w:ascii="Times New Roman" w:hAnsi="Times New Roman"/>
          <w:sz w:val="24"/>
          <w:szCs w:val="24"/>
        </w:rPr>
        <w:t>投标人应当在投标截止时间前，通过互联网使用移动数字证书（CA）、电子营业执照或办理实体数字证书（CA）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r>
        <w:rPr>
          <w:rFonts w:ascii="Times New Roman" w:hAnsi="Times New Roman"/>
          <w:sz w:val="24"/>
          <w:szCs w:val="24"/>
        </w:rPr>
        <w:t>。</w:t>
      </w:r>
    </w:p>
    <w:p w14:paraId="2457ED60">
      <w:pPr>
        <w:widowControl/>
        <w:spacing w:line="360" w:lineRule="auto"/>
        <w:jc w:val="left"/>
        <w:outlineLvl w:val="1"/>
        <w:rPr>
          <w:rFonts w:ascii="Times New Roman" w:hAnsi="Times New Roman"/>
          <w:b/>
          <w:bCs/>
          <w:kern w:val="0"/>
          <w:sz w:val="24"/>
          <w:szCs w:val="24"/>
        </w:rPr>
      </w:pPr>
      <w:bookmarkStart w:id="19" w:name="_Toc878"/>
      <w:r>
        <w:rPr>
          <w:rFonts w:ascii="Times New Roman" w:hAnsi="Times New Roman"/>
          <w:b/>
          <w:bCs/>
          <w:kern w:val="0"/>
          <w:sz w:val="24"/>
          <w:szCs w:val="24"/>
        </w:rPr>
        <w:t>6.投标相关事宜</w:t>
      </w:r>
      <w:bookmarkEnd w:id="19"/>
    </w:p>
    <w:p w14:paraId="73E6DF71">
      <w:pPr>
        <w:spacing w:line="360" w:lineRule="auto"/>
        <w:ind w:firstLine="480" w:firstLineChars="200"/>
        <w:jc w:val="left"/>
        <w:rPr>
          <w:rFonts w:ascii="Times New Roman" w:hAnsi="Times New Roman"/>
          <w:sz w:val="24"/>
          <w:szCs w:val="24"/>
        </w:rPr>
      </w:pPr>
      <w:r>
        <w:rPr>
          <w:rFonts w:ascii="Times New Roman" w:hAnsi="Times New Roman"/>
          <w:sz w:val="24"/>
          <w:szCs w:val="24"/>
        </w:rPr>
        <w:t>招标人不组织进行工程现场踏勘，不召开投标预备会。</w:t>
      </w:r>
    </w:p>
    <w:p w14:paraId="3A60B995">
      <w:pPr>
        <w:widowControl/>
        <w:spacing w:line="360" w:lineRule="auto"/>
        <w:jc w:val="left"/>
        <w:outlineLvl w:val="1"/>
        <w:rPr>
          <w:rFonts w:ascii="Times New Roman" w:hAnsi="Times New Roman"/>
          <w:b/>
          <w:bCs/>
          <w:kern w:val="0"/>
          <w:sz w:val="24"/>
          <w:szCs w:val="24"/>
        </w:rPr>
      </w:pPr>
      <w:bookmarkStart w:id="20" w:name="_Toc29884"/>
      <w:r>
        <w:rPr>
          <w:rFonts w:ascii="Times New Roman" w:hAnsi="Times New Roman"/>
          <w:b/>
          <w:bCs/>
          <w:kern w:val="0"/>
          <w:sz w:val="24"/>
          <w:szCs w:val="24"/>
        </w:rPr>
        <w:t>7.评标办法</w:t>
      </w:r>
      <w:bookmarkEnd w:id="20"/>
    </w:p>
    <w:p w14:paraId="3AD373F1">
      <w:pPr>
        <w:spacing w:line="360" w:lineRule="auto"/>
        <w:ind w:firstLine="480" w:firstLineChars="200"/>
        <w:jc w:val="left"/>
        <w:rPr>
          <w:rFonts w:ascii="Times New Roman" w:hAnsi="Times New Roman"/>
          <w:sz w:val="24"/>
          <w:szCs w:val="24"/>
        </w:rPr>
      </w:pPr>
      <w:r>
        <w:rPr>
          <w:rFonts w:ascii="Times New Roman" w:hAnsi="Times New Roman"/>
          <w:sz w:val="24"/>
          <w:szCs w:val="24"/>
        </w:rPr>
        <w:t>本标段招标评标办法采用综合评估法。</w:t>
      </w:r>
    </w:p>
    <w:p w14:paraId="6809699A">
      <w:pPr>
        <w:widowControl/>
        <w:spacing w:line="360" w:lineRule="auto"/>
        <w:jc w:val="left"/>
        <w:outlineLvl w:val="1"/>
        <w:rPr>
          <w:rFonts w:ascii="Times New Roman" w:hAnsi="Times New Roman"/>
          <w:b/>
          <w:bCs/>
          <w:kern w:val="0"/>
          <w:sz w:val="24"/>
          <w:szCs w:val="24"/>
        </w:rPr>
      </w:pPr>
      <w:bookmarkStart w:id="21" w:name="_Toc9991"/>
      <w:r>
        <w:rPr>
          <w:rFonts w:ascii="Times New Roman" w:hAnsi="Times New Roman"/>
          <w:b/>
          <w:bCs/>
          <w:kern w:val="0"/>
          <w:sz w:val="24"/>
          <w:szCs w:val="24"/>
        </w:rPr>
        <w:t>8.发布公告的媒介</w:t>
      </w:r>
      <w:bookmarkEnd w:id="21"/>
    </w:p>
    <w:p w14:paraId="0A25B596">
      <w:pPr>
        <w:spacing w:line="360" w:lineRule="auto"/>
        <w:ind w:firstLine="480" w:firstLineChars="200"/>
        <w:jc w:val="left"/>
        <w:rPr>
          <w:rFonts w:ascii="Times New Roman" w:hAnsi="Times New Roman"/>
          <w:sz w:val="24"/>
          <w:szCs w:val="24"/>
        </w:rPr>
      </w:pPr>
      <w:r>
        <w:rPr>
          <w:rFonts w:ascii="Times New Roman" w:hAnsi="Times New Roman"/>
          <w:sz w:val="24"/>
          <w:szCs w:val="24"/>
        </w:rPr>
        <w:t>本标段招标公告同时在湖北省公共资源交易电子服务系统（网址：www.hbggzyfwpt.cn）、湖北省交通运输厅网站（http：//jtt.hubei.gov.cn）、湖北交投电子采购平台（http://ec.hbjttz.com/）(发布公告的媒介名称)上发布。</w:t>
      </w:r>
    </w:p>
    <w:p w14:paraId="1A8F5765">
      <w:pPr>
        <w:widowControl/>
        <w:spacing w:line="360" w:lineRule="auto"/>
        <w:jc w:val="left"/>
        <w:outlineLvl w:val="1"/>
        <w:rPr>
          <w:rFonts w:ascii="Times New Roman" w:hAnsi="Times New Roman"/>
          <w:b/>
          <w:bCs/>
          <w:kern w:val="0"/>
          <w:sz w:val="24"/>
          <w:szCs w:val="24"/>
        </w:rPr>
      </w:pPr>
      <w:bookmarkStart w:id="22" w:name="_Toc23221"/>
      <w:r>
        <w:rPr>
          <w:rFonts w:ascii="Times New Roman" w:hAnsi="Times New Roman"/>
          <w:b/>
          <w:bCs/>
          <w:kern w:val="0"/>
          <w:sz w:val="24"/>
          <w:szCs w:val="24"/>
        </w:rPr>
        <w:t>9.联系方式</w:t>
      </w:r>
      <w:bookmarkEnd w:id="22"/>
    </w:p>
    <w:p w14:paraId="61D9880B">
      <w:pPr>
        <w:widowControl/>
        <w:numPr>
          <w:ilvl w:val="0"/>
          <w:numId w:val="0"/>
        </w:numPr>
        <w:spacing w:line="360" w:lineRule="auto"/>
        <w:jc w:val="left"/>
        <w:outlineLvl w:val="0"/>
        <w:rPr>
          <w:rFonts w:hint="eastAsia" w:ascii="Times New Roman" w:hAnsi="Times New Roman" w:eastAsia="宋体"/>
          <w:b w:val="0"/>
          <w:bCs w:val="0"/>
          <w:kern w:val="0"/>
          <w:sz w:val="24"/>
          <w:szCs w:val="24"/>
          <w:lang w:eastAsia="zh-CN"/>
        </w:rPr>
      </w:pPr>
      <w:bookmarkStart w:id="23" w:name="_Toc2158"/>
      <w:r>
        <w:rPr>
          <w:rFonts w:hint="eastAsia" w:ascii="Times New Roman" w:hAnsi="Times New Roman"/>
          <w:b w:val="0"/>
          <w:bCs w:val="0"/>
          <w:kern w:val="0"/>
          <w:sz w:val="24"/>
          <w:szCs w:val="24"/>
        </w:rPr>
        <w:t>招 标 人：</w:t>
      </w:r>
      <w:bookmarkEnd w:id="23"/>
      <w:r>
        <w:rPr>
          <w:rFonts w:hint="eastAsia" w:ascii="Times New Roman" w:hAnsi="Times New Roman"/>
          <w:b w:val="0"/>
          <w:bCs w:val="0"/>
          <w:kern w:val="0"/>
          <w:sz w:val="24"/>
          <w:szCs w:val="24"/>
          <w:lang w:eastAsia="zh-CN"/>
        </w:rPr>
        <w:t>湖北交投咸九高速公路有限公司</w:t>
      </w:r>
    </w:p>
    <w:p w14:paraId="7FC2E321">
      <w:pPr>
        <w:widowControl/>
        <w:numPr>
          <w:ilvl w:val="0"/>
          <w:numId w:val="0"/>
        </w:numPr>
        <w:spacing w:line="360" w:lineRule="auto"/>
        <w:jc w:val="left"/>
        <w:rPr>
          <w:rFonts w:hint="eastAsia" w:ascii="Times New Roman" w:hAnsi="Times New Roman"/>
          <w:b w:val="0"/>
          <w:bCs w:val="0"/>
          <w:kern w:val="0"/>
          <w:sz w:val="24"/>
          <w:szCs w:val="24"/>
        </w:rPr>
      </w:pPr>
      <w:r>
        <w:rPr>
          <w:rFonts w:hint="eastAsia" w:ascii="Times New Roman" w:hAnsi="Times New Roman"/>
          <w:b w:val="0"/>
          <w:bCs w:val="0"/>
          <w:kern w:val="0"/>
          <w:sz w:val="24"/>
          <w:szCs w:val="24"/>
        </w:rPr>
        <w:t>地    址：咸宁市咸安区咸宁大道86号</w:t>
      </w:r>
    </w:p>
    <w:p w14:paraId="3D218BDC">
      <w:pPr>
        <w:widowControl/>
        <w:numPr>
          <w:ilvl w:val="0"/>
          <w:numId w:val="0"/>
        </w:numPr>
        <w:spacing w:line="360" w:lineRule="auto"/>
        <w:jc w:val="left"/>
        <w:rPr>
          <w:rFonts w:hint="eastAsia" w:ascii="Times New Roman" w:hAnsi="Times New Roman"/>
          <w:b w:val="0"/>
          <w:bCs w:val="0"/>
          <w:kern w:val="0"/>
          <w:sz w:val="24"/>
          <w:szCs w:val="24"/>
        </w:rPr>
      </w:pPr>
      <w:r>
        <w:rPr>
          <w:rFonts w:hint="eastAsia" w:ascii="Times New Roman" w:hAnsi="Times New Roman"/>
          <w:b w:val="0"/>
          <w:bCs w:val="0"/>
          <w:kern w:val="0"/>
          <w:sz w:val="24"/>
          <w:szCs w:val="24"/>
        </w:rPr>
        <w:t>联 系 人：柳先生</w:t>
      </w:r>
    </w:p>
    <w:p w14:paraId="3B4695B8">
      <w:pPr>
        <w:widowControl/>
        <w:numPr>
          <w:ilvl w:val="0"/>
          <w:numId w:val="0"/>
        </w:numPr>
        <w:spacing w:line="360" w:lineRule="auto"/>
        <w:jc w:val="left"/>
        <w:rPr>
          <w:rFonts w:hint="eastAsia" w:ascii="Times New Roman" w:hAnsi="Times New Roman"/>
          <w:b w:val="0"/>
          <w:bCs w:val="0"/>
          <w:kern w:val="0"/>
          <w:sz w:val="24"/>
          <w:szCs w:val="24"/>
        </w:rPr>
      </w:pPr>
      <w:r>
        <w:rPr>
          <w:rFonts w:hint="eastAsia" w:ascii="Times New Roman" w:hAnsi="Times New Roman"/>
          <w:b w:val="0"/>
          <w:bCs w:val="0"/>
          <w:kern w:val="0"/>
          <w:sz w:val="24"/>
          <w:szCs w:val="24"/>
        </w:rPr>
        <w:t>电    话：0715-8226706</w:t>
      </w:r>
    </w:p>
    <w:p w14:paraId="0EC4394F">
      <w:pPr>
        <w:widowControl/>
        <w:numPr>
          <w:ilvl w:val="0"/>
          <w:numId w:val="0"/>
        </w:numPr>
        <w:spacing w:line="360" w:lineRule="auto"/>
        <w:jc w:val="left"/>
        <w:rPr>
          <w:rFonts w:hint="eastAsia" w:ascii="Times New Roman" w:hAnsi="Times New Roman"/>
          <w:b w:val="0"/>
          <w:bCs w:val="0"/>
          <w:kern w:val="0"/>
          <w:sz w:val="24"/>
          <w:szCs w:val="24"/>
        </w:rPr>
      </w:pPr>
    </w:p>
    <w:p w14:paraId="70275E6F">
      <w:pPr>
        <w:widowControl/>
        <w:numPr>
          <w:ilvl w:val="0"/>
          <w:numId w:val="0"/>
        </w:numPr>
        <w:spacing w:line="360" w:lineRule="auto"/>
        <w:jc w:val="left"/>
        <w:rPr>
          <w:rFonts w:hint="eastAsia" w:ascii="Times New Roman" w:hAnsi="Times New Roman"/>
          <w:b w:val="0"/>
          <w:bCs w:val="0"/>
          <w:kern w:val="0"/>
          <w:sz w:val="24"/>
          <w:szCs w:val="24"/>
        </w:rPr>
      </w:pPr>
      <w:r>
        <w:rPr>
          <w:rFonts w:hint="eastAsia" w:ascii="Times New Roman" w:hAnsi="Times New Roman"/>
          <w:b w:val="0"/>
          <w:bCs w:val="0"/>
          <w:kern w:val="0"/>
          <w:sz w:val="24"/>
          <w:szCs w:val="24"/>
        </w:rPr>
        <w:t>招标代理：华杰工程咨询有限公司</w:t>
      </w:r>
    </w:p>
    <w:p w14:paraId="5AEF59AC">
      <w:pPr>
        <w:widowControl/>
        <w:numPr>
          <w:ilvl w:val="0"/>
          <w:numId w:val="0"/>
        </w:numPr>
        <w:spacing w:line="360" w:lineRule="auto"/>
        <w:jc w:val="left"/>
        <w:rPr>
          <w:rFonts w:hint="eastAsia" w:ascii="Times New Roman" w:hAnsi="Times New Roman"/>
          <w:b w:val="0"/>
          <w:bCs w:val="0"/>
          <w:kern w:val="0"/>
          <w:sz w:val="24"/>
          <w:szCs w:val="24"/>
        </w:rPr>
      </w:pPr>
      <w:r>
        <w:rPr>
          <w:rFonts w:hint="eastAsia" w:ascii="Times New Roman" w:hAnsi="Times New Roman"/>
          <w:b w:val="0"/>
          <w:bCs w:val="0"/>
          <w:kern w:val="0"/>
          <w:sz w:val="24"/>
          <w:szCs w:val="24"/>
        </w:rPr>
        <w:t>地    址：武汉市硚口区硚口路160号武汉城市广场写字楼</w:t>
      </w:r>
      <w:r>
        <w:rPr>
          <w:rFonts w:hint="eastAsia" w:ascii="Times New Roman" w:hAnsi="Times New Roman"/>
          <w:b w:val="0"/>
          <w:bCs w:val="0"/>
          <w:kern w:val="0"/>
          <w:sz w:val="24"/>
          <w:szCs w:val="24"/>
          <w:lang w:val="en-US" w:eastAsia="zh-CN"/>
        </w:rPr>
        <w:t>22</w:t>
      </w:r>
      <w:r>
        <w:rPr>
          <w:rFonts w:hint="eastAsia" w:ascii="Times New Roman" w:hAnsi="Times New Roman"/>
          <w:b w:val="0"/>
          <w:bCs w:val="0"/>
          <w:kern w:val="0"/>
          <w:sz w:val="24"/>
          <w:szCs w:val="24"/>
        </w:rPr>
        <w:t>层</w:t>
      </w:r>
    </w:p>
    <w:p w14:paraId="6523E8BD">
      <w:pPr>
        <w:widowControl/>
        <w:numPr>
          <w:ilvl w:val="0"/>
          <w:numId w:val="0"/>
        </w:numPr>
        <w:spacing w:line="360" w:lineRule="auto"/>
        <w:jc w:val="left"/>
        <w:rPr>
          <w:rFonts w:hint="eastAsia" w:ascii="Times New Roman" w:hAnsi="Times New Roman"/>
          <w:b w:val="0"/>
          <w:bCs w:val="0"/>
          <w:kern w:val="0"/>
          <w:sz w:val="24"/>
          <w:szCs w:val="24"/>
        </w:rPr>
      </w:pPr>
      <w:r>
        <w:rPr>
          <w:rFonts w:hint="eastAsia" w:ascii="Times New Roman" w:hAnsi="Times New Roman"/>
          <w:b w:val="0"/>
          <w:bCs w:val="0"/>
          <w:kern w:val="0"/>
          <w:sz w:val="24"/>
          <w:szCs w:val="24"/>
        </w:rPr>
        <w:t>联 系 人：</w:t>
      </w:r>
      <w:r>
        <w:rPr>
          <w:rFonts w:hint="eastAsia" w:ascii="Times New Roman" w:hAnsi="Times New Roman"/>
          <w:b w:val="0"/>
          <w:bCs w:val="0"/>
          <w:kern w:val="0"/>
          <w:sz w:val="24"/>
          <w:szCs w:val="24"/>
          <w:lang w:val="en-US" w:eastAsia="zh-CN"/>
        </w:rPr>
        <w:t>石章燃、陈玉良、胡健平</w:t>
      </w:r>
    </w:p>
    <w:p w14:paraId="6412E077">
      <w:pPr>
        <w:widowControl/>
        <w:numPr>
          <w:ilvl w:val="0"/>
          <w:numId w:val="0"/>
        </w:numPr>
        <w:spacing w:line="360" w:lineRule="auto"/>
        <w:jc w:val="left"/>
        <w:rPr>
          <w:rFonts w:hint="eastAsia" w:ascii="Times New Roman" w:hAnsi="Times New Roman"/>
          <w:b w:val="0"/>
          <w:bCs w:val="0"/>
          <w:kern w:val="0"/>
          <w:sz w:val="24"/>
          <w:szCs w:val="24"/>
        </w:rPr>
      </w:pPr>
      <w:r>
        <w:rPr>
          <w:rFonts w:hint="eastAsia" w:ascii="Times New Roman" w:hAnsi="Times New Roman"/>
          <w:b w:val="0"/>
          <w:bCs w:val="0"/>
          <w:kern w:val="0"/>
          <w:sz w:val="24"/>
          <w:szCs w:val="24"/>
        </w:rPr>
        <w:t>电    话：027-836</w:t>
      </w:r>
      <w:r>
        <w:rPr>
          <w:rFonts w:hint="eastAsia" w:ascii="Times New Roman" w:hAnsi="Times New Roman"/>
          <w:b w:val="0"/>
          <w:bCs w:val="0"/>
          <w:kern w:val="0"/>
          <w:sz w:val="24"/>
          <w:szCs w:val="24"/>
          <w:lang w:val="en-US" w:eastAsia="zh-CN"/>
        </w:rPr>
        <w:t>3</w:t>
      </w:r>
      <w:r>
        <w:rPr>
          <w:rFonts w:hint="eastAsia" w:ascii="Times New Roman" w:hAnsi="Times New Roman"/>
          <w:b w:val="0"/>
          <w:bCs w:val="0"/>
          <w:kern w:val="0"/>
          <w:sz w:val="24"/>
          <w:szCs w:val="24"/>
        </w:rPr>
        <w:t>2</w:t>
      </w:r>
      <w:r>
        <w:rPr>
          <w:rFonts w:hint="eastAsia" w:ascii="Times New Roman" w:hAnsi="Times New Roman"/>
          <w:b w:val="0"/>
          <w:bCs w:val="0"/>
          <w:kern w:val="0"/>
          <w:sz w:val="24"/>
          <w:szCs w:val="24"/>
          <w:lang w:val="en-US" w:eastAsia="zh-CN"/>
        </w:rPr>
        <w:t>532</w:t>
      </w:r>
    </w:p>
    <w:p w14:paraId="015F6920">
      <w:pPr>
        <w:widowControl/>
        <w:numPr>
          <w:ilvl w:val="0"/>
          <w:numId w:val="0"/>
        </w:numPr>
        <w:spacing w:line="360" w:lineRule="auto"/>
        <w:jc w:val="left"/>
        <w:rPr>
          <w:rFonts w:ascii="Times New Roman" w:hAnsi="Times New Roman"/>
          <w:b w:val="0"/>
          <w:bCs w:val="0"/>
          <w:kern w:val="0"/>
          <w:sz w:val="24"/>
          <w:szCs w:val="24"/>
        </w:rPr>
      </w:pPr>
      <w:r>
        <w:rPr>
          <w:rFonts w:hint="eastAsia" w:ascii="Times New Roman" w:hAnsi="Times New Roman"/>
          <w:b w:val="0"/>
          <w:bCs w:val="0"/>
          <w:kern w:val="0"/>
          <w:sz w:val="24"/>
          <w:szCs w:val="24"/>
        </w:rPr>
        <w:t xml:space="preserve">网    址：http://www.huajiezn.com </w:t>
      </w:r>
    </w:p>
    <w:p w14:paraId="379BC09C">
      <w:pPr>
        <w:widowControl/>
        <w:numPr>
          <w:ilvl w:val="0"/>
          <w:numId w:val="0"/>
        </w:numPr>
        <w:spacing w:line="360" w:lineRule="auto"/>
        <w:jc w:val="left"/>
        <w:rPr>
          <w:rFonts w:hint="default" w:ascii="Times New Roman" w:hAnsi="Times New Roman"/>
          <w:kern w:val="0"/>
          <w:sz w:val="24"/>
          <w:szCs w:val="24"/>
        </w:rPr>
      </w:pPr>
    </w:p>
    <w:p w14:paraId="1C5151BF">
      <w:pPr>
        <w:widowControl/>
        <w:numPr>
          <w:ilvl w:val="0"/>
          <w:numId w:val="0"/>
        </w:numPr>
        <w:spacing w:line="360" w:lineRule="auto"/>
        <w:jc w:val="left"/>
        <w:rPr>
          <w:rFonts w:hint="default" w:ascii="Times New Roman" w:hAnsi="Times New Roman"/>
          <w:kern w:val="0"/>
          <w:sz w:val="24"/>
          <w:szCs w:val="24"/>
        </w:rPr>
      </w:pPr>
      <w:r>
        <w:rPr>
          <w:rFonts w:hint="default" w:ascii="Times New Roman" w:hAnsi="Times New Roman"/>
          <w:kern w:val="0"/>
          <w:sz w:val="24"/>
          <w:szCs w:val="24"/>
        </w:rPr>
        <w:t>10.行政监督部门</w:t>
      </w:r>
    </w:p>
    <w:p w14:paraId="2ECF8A23">
      <w:pPr>
        <w:widowControl/>
        <w:numPr>
          <w:ilvl w:val="0"/>
          <w:numId w:val="0"/>
        </w:numPr>
        <w:spacing w:line="360" w:lineRule="auto"/>
        <w:jc w:val="left"/>
        <w:rPr>
          <w:rFonts w:hint="default" w:ascii="Times New Roman" w:hAnsi="Times New Roman"/>
          <w:kern w:val="0"/>
          <w:sz w:val="24"/>
          <w:szCs w:val="24"/>
        </w:rPr>
      </w:pPr>
      <w:r>
        <w:rPr>
          <w:rFonts w:hint="default" w:ascii="Times New Roman" w:hAnsi="Times New Roman"/>
          <w:kern w:val="0"/>
          <w:sz w:val="24"/>
          <w:szCs w:val="24"/>
        </w:rPr>
        <w:t>名称:</w:t>
      </w:r>
      <w:r>
        <w:rPr>
          <w:rFonts w:hint="default" w:ascii="Times New Roman" w:hAnsi="Times New Roman"/>
          <w:kern w:val="0"/>
          <w:sz w:val="24"/>
          <w:szCs w:val="24"/>
        </w:rPr>
        <w:tab/>
      </w:r>
      <w:r>
        <w:rPr>
          <w:rFonts w:hint="default" w:ascii="Times New Roman" w:hAnsi="Times New Roman"/>
          <w:kern w:val="0"/>
          <w:sz w:val="24"/>
          <w:szCs w:val="24"/>
        </w:rPr>
        <w:t>湖北省交通运输厅</w:t>
      </w:r>
    </w:p>
    <w:p w14:paraId="6ED17C08">
      <w:pPr>
        <w:widowControl/>
        <w:numPr>
          <w:ilvl w:val="0"/>
          <w:numId w:val="0"/>
        </w:numPr>
        <w:spacing w:line="360" w:lineRule="auto"/>
        <w:jc w:val="left"/>
        <w:rPr>
          <w:rFonts w:hint="default" w:ascii="Times New Roman" w:hAnsi="Times New Roman"/>
          <w:kern w:val="0"/>
          <w:sz w:val="24"/>
          <w:szCs w:val="24"/>
        </w:rPr>
      </w:pPr>
      <w:r>
        <w:rPr>
          <w:rFonts w:hint="default" w:ascii="Times New Roman" w:hAnsi="Times New Roman"/>
          <w:kern w:val="0"/>
          <w:sz w:val="24"/>
          <w:szCs w:val="24"/>
        </w:rPr>
        <w:t>地址:</w:t>
      </w:r>
      <w:r>
        <w:rPr>
          <w:rFonts w:hint="default" w:ascii="Times New Roman" w:hAnsi="Times New Roman"/>
          <w:kern w:val="0"/>
          <w:sz w:val="24"/>
          <w:szCs w:val="24"/>
        </w:rPr>
        <w:tab/>
      </w:r>
      <w:r>
        <w:rPr>
          <w:rFonts w:hint="default" w:ascii="Times New Roman" w:hAnsi="Times New Roman"/>
          <w:kern w:val="0"/>
          <w:sz w:val="24"/>
          <w:szCs w:val="24"/>
        </w:rPr>
        <w:t>武汉市汉口建设大道 428 号</w:t>
      </w:r>
    </w:p>
    <w:p w14:paraId="4377C8E3">
      <w:pPr>
        <w:widowControl/>
        <w:numPr>
          <w:ilvl w:val="0"/>
          <w:numId w:val="0"/>
        </w:numPr>
        <w:spacing w:line="360" w:lineRule="auto"/>
        <w:jc w:val="left"/>
        <w:rPr>
          <w:rFonts w:hint="default" w:ascii="Times New Roman" w:hAnsi="Times New Roman"/>
          <w:kern w:val="0"/>
          <w:sz w:val="24"/>
          <w:szCs w:val="24"/>
        </w:rPr>
      </w:pPr>
      <w:r>
        <w:rPr>
          <w:rFonts w:hint="default" w:ascii="Times New Roman" w:hAnsi="Times New Roman"/>
          <w:kern w:val="0"/>
          <w:sz w:val="24"/>
          <w:szCs w:val="24"/>
        </w:rPr>
        <w:t>电话:</w:t>
      </w:r>
      <w:r>
        <w:rPr>
          <w:rFonts w:hint="default" w:ascii="Times New Roman" w:hAnsi="Times New Roman"/>
          <w:kern w:val="0"/>
          <w:sz w:val="24"/>
          <w:szCs w:val="24"/>
        </w:rPr>
        <w:tab/>
      </w:r>
      <w:r>
        <w:rPr>
          <w:rFonts w:hint="default" w:ascii="Times New Roman" w:hAnsi="Times New Roman"/>
          <w:kern w:val="0"/>
          <w:sz w:val="24"/>
          <w:szCs w:val="24"/>
        </w:rPr>
        <w:t>027-83460346</w:t>
      </w:r>
    </w:p>
    <w:p w14:paraId="57C03B98">
      <w:pPr>
        <w:widowControl/>
        <w:numPr>
          <w:ilvl w:val="0"/>
          <w:numId w:val="0"/>
        </w:numPr>
        <w:spacing w:line="360" w:lineRule="auto"/>
        <w:jc w:val="left"/>
        <w:rPr>
          <w:rFonts w:hint="eastAsia" w:ascii="Times New Roman" w:hAnsi="Times New Roman"/>
          <w:kern w:val="0"/>
          <w:sz w:val="24"/>
          <w:szCs w:val="24"/>
        </w:rPr>
      </w:pPr>
      <w:r>
        <w:rPr>
          <w:rFonts w:hint="default" w:ascii="Times New Roman" w:hAnsi="Times New Roman"/>
          <w:kern w:val="0"/>
          <w:sz w:val="24"/>
          <w:szCs w:val="24"/>
        </w:rPr>
        <w:t>传真:</w:t>
      </w:r>
      <w:r>
        <w:rPr>
          <w:rFonts w:hint="default" w:ascii="Times New Roman" w:hAnsi="Times New Roman"/>
          <w:kern w:val="0"/>
          <w:sz w:val="24"/>
          <w:szCs w:val="24"/>
        </w:rPr>
        <w:tab/>
      </w:r>
      <w:r>
        <w:rPr>
          <w:rFonts w:hint="default" w:ascii="Times New Roman" w:hAnsi="Times New Roman"/>
          <w:kern w:val="0"/>
          <w:sz w:val="24"/>
          <w:szCs w:val="24"/>
        </w:rPr>
        <w:t>027-83460346</w:t>
      </w:r>
      <w:r>
        <w:rPr>
          <w:rFonts w:hint="eastAsia" w:ascii="Times New Roman" w:hAnsi="Times New Roman"/>
          <w:kern w:val="0"/>
          <w:sz w:val="24"/>
          <w:szCs w:val="24"/>
          <w:lang w:val="en-US" w:eastAsia="zh-CN"/>
        </w:rPr>
        <w:t xml:space="preserve"> </w:t>
      </w:r>
    </w:p>
    <w:p w14:paraId="4A5FBD09">
      <w:pPr>
        <w:widowControl/>
        <w:numPr>
          <w:ilvl w:val="0"/>
          <w:numId w:val="0"/>
        </w:numPr>
        <w:spacing w:line="360" w:lineRule="auto"/>
        <w:jc w:val="left"/>
        <w:rPr>
          <w:rFonts w:hint="default" w:ascii="Times New Roman" w:hAnsi="Times New Roman"/>
          <w:kern w:val="0"/>
          <w:sz w:val="24"/>
          <w:szCs w:val="24"/>
        </w:rPr>
      </w:pPr>
      <w:r>
        <w:rPr>
          <w:rFonts w:hint="default" w:ascii="Times New Roman" w:hAnsi="Times New Roman"/>
          <w:kern w:val="0"/>
          <w:sz w:val="24"/>
          <w:szCs w:val="24"/>
        </w:rPr>
        <w:t>邮政编码:</w:t>
      </w:r>
      <w:r>
        <w:rPr>
          <w:rFonts w:hint="default" w:ascii="Times New Roman" w:hAnsi="Times New Roman"/>
          <w:kern w:val="0"/>
          <w:sz w:val="24"/>
          <w:szCs w:val="24"/>
        </w:rPr>
        <w:tab/>
      </w:r>
      <w:r>
        <w:rPr>
          <w:rFonts w:hint="default" w:ascii="Times New Roman" w:hAnsi="Times New Roman"/>
          <w:kern w:val="0"/>
          <w:sz w:val="24"/>
          <w:szCs w:val="24"/>
        </w:rPr>
        <w:t>430030</w:t>
      </w:r>
    </w:p>
    <w:p w14:paraId="3D065DFC">
      <w:pPr>
        <w:spacing w:line="360" w:lineRule="auto"/>
        <w:jc w:val="righ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4"/>
          <w:szCs w:val="24"/>
          <w:highlight w:val="none"/>
        </w:rPr>
        <w:t>202</w:t>
      </w: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月</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69873F8B">
      <w:pPr>
        <w:spacing w:line="360" w:lineRule="auto"/>
        <w:jc w:val="left"/>
        <w:rPr>
          <w:rFonts w:hint="eastAsia" w:ascii="Times New Roman" w:hAnsi="Times New Roman" w:eastAsia="宋体"/>
          <w:sz w:val="24"/>
          <w:szCs w:val="24"/>
          <w:highlight w:val="white"/>
          <w:lang w:val="en-US" w:eastAsia="zh-CN"/>
        </w:rPr>
      </w:pPr>
    </w:p>
    <w:p w14:paraId="1C6BA139">
      <w:pPr>
        <w:spacing w:line="360" w:lineRule="auto"/>
        <w:jc w:val="left"/>
        <w:rPr>
          <w:rFonts w:ascii="Times New Roman" w:hAnsi="Times New Roman" w:eastAsia="黑体"/>
          <w:kern w:val="0"/>
          <w:sz w:val="24"/>
          <w:szCs w:val="24"/>
          <w:highlight w:val="none"/>
        </w:rPr>
      </w:pPr>
      <w:r>
        <w:rPr>
          <w:rFonts w:ascii="Times New Roman" w:hAnsi="Times New Roman"/>
          <w:sz w:val="24"/>
          <w:szCs w:val="24"/>
          <w:highlight w:val="white"/>
        </w:rPr>
        <w:br w:type="page"/>
      </w:r>
      <w:r>
        <w:rPr>
          <w:rFonts w:ascii="Times New Roman" w:hAnsi="Times New Roman" w:eastAsia="黑体"/>
          <w:kern w:val="0"/>
          <w:sz w:val="24"/>
          <w:szCs w:val="24"/>
        </w:rPr>
        <w:t>附录:</w:t>
      </w:r>
    </w:p>
    <w:p w14:paraId="7C017B6B">
      <w:pPr>
        <w:widowControl/>
        <w:spacing w:line="360" w:lineRule="auto"/>
        <w:jc w:val="center"/>
        <w:outlineLvl w:val="1"/>
        <w:rPr>
          <w:rFonts w:ascii="Times New Roman" w:hAnsi="Times New Roman"/>
          <w:kern w:val="0"/>
          <w:sz w:val="24"/>
          <w:szCs w:val="24"/>
          <w:highlight w:val="none"/>
        </w:rPr>
      </w:pPr>
      <w:bookmarkStart w:id="24" w:name="_Toc27564"/>
      <w:bookmarkStart w:id="25" w:name="_Toc15088"/>
      <w:bookmarkStart w:id="26" w:name="_Toc27691"/>
      <w:r>
        <w:rPr>
          <w:rFonts w:ascii="Times New Roman" w:hAnsi="Times New Roman"/>
          <w:b/>
          <w:bCs/>
          <w:kern w:val="0"/>
          <w:sz w:val="24"/>
          <w:szCs w:val="24"/>
          <w:highlight w:val="none"/>
        </w:rPr>
        <w:t>附录1 资格审查条件(资质要求)</w:t>
      </w:r>
      <w:bookmarkEnd w:id="24"/>
      <w:bookmarkEnd w:id="25"/>
      <w:bookmarkEnd w:id="26"/>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097"/>
      </w:tblGrid>
      <w:tr w14:paraId="3BA8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noWrap w:val="0"/>
            <w:vAlign w:val="center"/>
          </w:tcPr>
          <w:p w14:paraId="5B86453F">
            <w:pPr>
              <w:spacing w:line="360" w:lineRule="auto"/>
              <w:jc w:val="center"/>
              <w:rPr>
                <w:rFonts w:ascii="Times New Roman" w:hAnsi="Times New Roman"/>
                <w:szCs w:val="21"/>
                <w:highlight w:val="none"/>
              </w:rPr>
            </w:pPr>
            <w:r>
              <w:rPr>
                <w:rFonts w:ascii="Times New Roman" w:hAnsi="Times New Roman"/>
                <w:szCs w:val="21"/>
                <w:highlight w:val="none"/>
              </w:rPr>
              <w:t>标段</w:t>
            </w:r>
          </w:p>
        </w:tc>
        <w:tc>
          <w:tcPr>
            <w:tcW w:w="7097" w:type="dxa"/>
            <w:noWrap w:val="0"/>
            <w:vAlign w:val="center"/>
          </w:tcPr>
          <w:p w14:paraId="1C8E57A1">
            <w:pPr>
              <w:spacing w:line="360" w:lineRule="auto"/>
              <w:jc w:val="center"/>
              <w:rPr>
                <w:rFonts w:ascii="Times New Roman" w:hAnsi="Times New Roman"/>
                <w:szCs w:val="21"/>
                <w:highlight w:val="none"/>
              </w:rPr>
            </w:pPr>
            <w:r>
              <w:rPr>
                <w:rFonts w:ascii="Times New Roman" w:hAnsi="Times New Roman"/>
                <w:szCs w:val="21"/>
                <w:highlight w:val="none"/>
              </w:rPr>
              <w:t>资质最低要求</w:t>
            </w:r>
          </w:p>
        </w:tc>
      </w:tr>
      <w:tr w14:paraId="5DB7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418" w:type="dxa"/>
            <w:noWrap w:val="0"/>
            <w:vAlign w:val="center"/>
          </w:tcPr>
          <w:p w14:paraId="0B30C710">
            <w:pPr>
              <w:spacing w:line="360" w:lineRule="auto"/>
              <w:jc w:val="center"/>
              <w:rPr>
                <w:rFonts w:hint="eastAsia" w:ascii="Times New Roman" w:hAnsi="Times New Roman" w:eastAsia="宋体"/>
                <w:szCs w:val="21"/>
                <w:highlight w:val="none"/>
                <w:lang w:eastAsia="zh-CN"/>
              </w:rPr>
            </w:pPr>
            <w:r>
              <w:rPr>
                <w:rFonts w:hint="eastAsia" w:ascii="Times New Roman" w:hAnsi="Times New Roman"/>
                <w:szCs w:val="21"/>
                <w:highlight w:val="none"/>
              </w:rPr>
              <w:t>TWBPJC-1</w:t>
            </w:r>
          </w:p>
        </w:tc>
        <w:tc>
          <w:tcPr>
            <w:tcW w:w="7097" w:type="dxa"/>
            <w:noWrap w:val="0"/>
            <w:vAlign w:val="center"/>
          </w:tcPr>
          <w:p w14:paraId="1A7542DF">
            <w:pPr>
              <w:spacing w:line="360" w:lineRule="auto"/>
              <w:jc w:val="both"/>
              <w:rPr>
                <w:rFonts w:hint="eastAsia" w:ascii="Times New Roman" w:hAnsi="Times New Roman"/>
                <w:color w:val="auto"/>
                <w:szCs w:val="21"/>
                <w:highlight w:val="none"/>
              </w:rPr>
            </w:pPr>
            <w:r>
              <w:rPr>
                <w:rFonts w:hint="eastAsia" w:ascii="Times New Roman" w:hAnsi="Times New Roman"/>
                <w:color w:val="auto"/>
                <w:szCs w:val="21"/>
                <w:highlight w:val="none"/>
              </w:rPr>
              <w:t>同时具备：</w:t>
            </w:r>
          </w:p>
          <w:p w14:paraId="01FB0D2D">
            <w:pPr>
              <w:spacing w:line="360" w:lineRule="auto"/>
              <w:ind w:firstLine="420" w:firstLineChars="200"/>
              <w:jc w:val="both"/>
              <w:rPr>
                <w:rFonts w:hint="eastAsia" w:ascii="Times New Roman" w:hAnsi="Times New Roman"/>
                <w:color w:val="auto"/>
                <w:szCs w:val="21"/>
                <w:highlight w:val="none"/>
              </w:rPr>
            </w:pPr>
            <w:r>
              <w:rPr>
                <w:rFonts w:hint="eastAsia" w:ascii="Times New Roman" w:hAnsi="Times New Roman"/>
                <w:color w:val="auto"/>
                <w:szCs w:val="21"/>
                <w:highlight w:val="none"/>
              </w:rPr>
              <w:t>1、有效的营业执照或事业单位法人证书；</w:t>
            </w:r>
          </w:p>
          <w:p w14:paraId="7EC89432">
            <w:pPr>
              <w:spacing w:line="360" w:lineRule="auto"/>
              <w:ind w:firstLine="420" w:firstLineChars="200"/>
              <w:jc w:val="both"/>
              <w:rPr>
                <w:rFonts w:hint="eastAsia" w:ascii="Times New Roman" w:hAnsi="Times New Roman" w:eastAsia="宋体" w:cs="Times New Roman"/>
                <w:color w:val="auto"/>
                <w:szCs w:val="21"/>
                <w:highlight w:val="none"/>
                <w:lang w:eastAsia="zh-CN"/>
              </w:rPr>
            </w:pPr>
            <w:r>
              <w:rPr>
                <w:rFonts w:hint="eastAsia" w:ascii="Times New Roman" w:hAnsi="Times New Roman"/>
                <w:color w:val="auto"/>
                <w:szCs w:val="21"/>
                <w:highlight w:val="none"/>
              </w:rPr>
              <w:t>2、</w:t>
            </w:r>
            <w:r>
              <w:rPr>
                <w:rFonts w:hint="eastAsia" w:ascii="Times New Roman" w:hAnsi="Times New Roman" w:eastAsia="宋体" w:cs="Times New Roman"/>
                <w:color w:val="auto"/>
                <w:szCs w:val="21"/>
                <w:highlight w:val="none"/>
                <w:lang w:eastAsia="zh-CN"/>
              </w:rPr>
              <w:t>持有下列资质证书之一：</w:t>
            </w:r>
          </w:p>
          <w:p w14:paraId="4BC77A78">
            <w:pPr>
              <w:widowControl/>
              <w:spacing w:line="360" w:lineRule="auto"/>
              <w:ind w:firstLine="420" w:firstLineChars="200"/>
              <w:rPr>
                <w:rFonts w:hint="eastAsia" w:ascii="Times New Roman" w:hAnsi="Times New Roman"/>
                <w:szCs w:val="21"/>
              </w:rPr>
            </w:pPr>
            <w:r>
              <w:rPr>
                <w:rFonts w:hint="eastAsia" w:ascii="Times New Roman" w:hAnsi="Times New Roman"/>
                <w:szCs w:val="21"/>
              </w:rPr>
              <w:t>①有效的住房城乡建设部颁发的工程勘察综合甲级资质或者工程勘察岩土工程专业甲级资质；</w:t>
            </w:r>
          </w:p>
          <w:p w14:paraId="20D676A8">
            <w:pPr>
              <w:widowControl/>
              <w:spacing w:line="360" w:lineRule="auto"/>
              <w:ind w:firstLine="420" w:firstLineChars="200"/>
              <w:rPr>
                <w:rFonts w:hint="eastAsia" w:ascii="Times New Roman" w:hAnsi="Times New Roman"/>
                <w:szCs w:val="21"/>
              </w:rPr>
            </w:pPr>
            <w:r>
              <w:rPr>
                <w:rFonts w:hint="eastAsia" w:ascii="Times New Roman" w:hAnsi="Times New Roman"/>
                <w:szCs w:val="21"/>
              </w:rPr>
              <w:t>②有效的公路工程质量检测乙级或公路工程综合乙级试验检测资质；</w:t>
            </w:r>
          </w:p>
          <w:p w14:paraId="2D0390C9">
            <w:pPr>
              <w:spacing w:line="360" w:lineRule="auto"/>
              <w:ind w:firstLine="420" w:firstLineChars="200"/>
              <w:jc w:val="both"/>
              <w:rPr>
                <w:rFonts w:hint="default" w:ascii="Times New Roman" w:hAnsi="Times New Roman" w:eastAsia="宋体"/>
                <w:color w:val="auto"/>
                <w:szCs w:val="21"/>
                <w:highlight w:val="none"/>
                <w:lang w:val="en-US" w:eastAsia="zh-CN"/>
              </w:rPr>
            </w:pPr>
            <w:r>
              <w:rPr>
                <w:rFonts w:hint="eastAsia" w:ascii="Times New Roman" w:hAnsi="Times New Roman"/>
                <w:szCs w:val="21"/>
              </w:rPr>
              <w:t>③有效的地质灾害评估和治理工程勘查设计甲级资质。</w:t>
            </w:r>
          </w:p>
        </w:tc>
      </w:tr>
    </w:tbl>
    <w:p w14:paraId="72B17CF2">
      <w:pPr>
        <w:spacing w:line="360" w:lineRule="auto"/>
        <w:jc w:val="left"/>
        <w:rPr>
          <w:rFonts w:ascii="Times New Roman" w:hAnsi="Times New Roman" w:eastAsia="黑体"/>
          <w:szCs w:val="21"/>
          <w:highlight w:val="none"/>
        </w:rPr>
      </w:pPr>
      <w:r>
        <w:rPr>
          <w:rFonts w:ascii="Times New Roman" w:hAnsi="Times New Roman" w:eastAsia="黑体"/>
          <w:szCs w:val="21"/>
          <w:highlight w:val="none"/>
        </w:rPr>
        <w:t>注：</w:t>
      </w:r>
    </w:p>
    <w:p w14:paraId="05EA7851">
      <w:pPr>
        <w:spacing w:line="360" w:lineRule="auto"/>
        <w:jc w:val="left"/>
        <w:rPr>
          <w:rFonts w:ascii="Times New Roman" w:hAnsi="Times New Roman" w:eastAsia="黑体"/>
          <w:szCs w:val="21"/>
          <w:highlight w:val="none"/>
        </w:rPr>
      </w:pPr>
      <w:r>
        <w:rPr>
          <w:rFonts w:ascii="Times New Roman" w:hAnsi="Times New Roman" w:eastAsia="黑体"/>
          <w:szCs w:val="21"/>
          <w:highlight w:val="none"/>
        </w:rPr>
        <w:t>1、</w:t>
      </w:r>
      <w:r>
        <w:rPr>
          <w:rFonts w:hint="eastAsia" w:ascii="Times New Roman" w:hAnsi="Times New Roman" w:eastAsia="黑体"/>
          <w:szCs w:val="21"/>
          <w:highlight w:val="none"/>
        </w:rPr>
        <w:t>投标人应填报投标文件格式资格审查资料“投标人基本情况表”。因投标文件格式资格审查资料“投标人基本情况表”注的内容为范本的固定格式无法编辑，投标文件格式资格审查资料“投标人基本情况表”注的内容与附录 1 资格审查条件（资质最低要求）注的要求不一致的，以附录 1 资格审查条件（资质最低要求）注的要求为准。</w:t>
      </w:r>
    </w:p>
    <w:p w14:paraId="4AC227B7">
      <w:pPr>
        <w:spacing w:line="360" w:lineRule="auto"/>
        <w:jc w:val="left"/>
        <w:rPr>
          <w:rFonts w:ascii="Times New Roman" w:hAnsi="Times New Roman" w:eastAsia="黑体"/>
          <w:szCs w:val="21"/>
          <w:highlight w:val="none"/>
        </w:rPr>
      </w:pPr>
      <w:r>
        <w:rPr>
          <w:rFonts w:ascii="Times New Roman" w:hAnsi="Times New Roman" w:eastAsia="黑体"/>
          <w:szCs w:val="21"/>
          <w:highlight w:val="none"/>
        </w:rPr>
        <w:t>2、</w:t>
      </w:r>
      <w:r>
        <w:rPr>
          <w:rFonts w:hint="eastAsia" w:ascii="Times New Roman" w:hAnsi="Times New Roman" w:eastAsia="黑体"/>
          <w:szCs w:val="21"/>
          <w:highlight w:val="none"/>
        </w:rPr>
        <w:t>“投标人基本情况表”后附相应证明材料。证明材料应附：营业执照（或事业单位法人证书）、资质证书的扫描件（各项证书的扫描件应包括投标人名称、投标人其他相关信息、颁发机构名称、投标人信息变更情况等关键页在内，封面、封底、空白页可不附）。</w:t>
      </w:r>
    </w:p>
    <w:p w14:paraId="355D91B8">
      <w:pPr>
        <w:spacing w:line="360" w:lineRule="auto"/>
        <w:jc w:val="left"/>
        <w:rPr>
          <w:rFonts w:ascii="Times New Roman" w:hAnsi="Times New Roman" w:eastAsia="黑体"/>
          <w:szCs w:val="21"/>
          <w:highlight w:val="none"/>
        </w:rPr>
      </w:pPr>
      <w:r>
        <w:rPr>
          <w:rFonts w:ascii="Times New Roman" w:hAnsi="Times New Roman" w:eastAsia="黑体"/>
          <w:szCs w:val="21"/>
          <w:highlight w:val="none"/>
        </w:rPr>
        <w:t>3、</w:t>
      </w:r>
      <w:r>
        <w:rPr>
          <w:rFonts w:hint="eastAsia" w:ascii="Times New Roman" w:hAnsi="Times New Roman" w:eastAsia="黑体"/>
          <w:szCs w:val="21"/>
          <w:highlight w:val="none"/>
        </w:rPr>
        <w:t>对于法人发生重组或变更且变更内容影响本次投标的投标人，应在投标文件格式资格审查资料“投标人基本情况表”后附有法人重组或变更时相关部门的合法批件、变更时</w:t>
      </w:r>
      <w:r>
        <w:rPr>
          <w:rFonts w:hint="eastAsia" w:ascii="Times New Roman" w:hAnsi="Times New Roman" w:eastAsia="黑体"/>
          <w:szCs w:val="21"/>
          <w:highlight w:val="none"/>
          <w:lang w:val="en-US" w:eastAsia="zh-CN"/>
        </w:rPr>
        <w:t>的</w:t>
      </w:r>
      <w:r>
        <w:rPr>
          <w:rFonts w:hint="eastAsia" w:ascii="Times New Roman" w:hAnsi="Times New Roman" w:eastAsia="黑体"/>
          <w:szCs w:val="21"/>
          <w:highlight w:val="none"/>
        </w:rPr>
        <w:t>营业执照或事业单位法人证书的变更记录扫描件。</w:t>
      </w:r>
    </w:p>
    <w:p w14:paraId="35AC751E">
      <w:pPr>
        <w:spacing w:line="360" w:lineRule="auto"/>
        <w:jc w:val="left"/>
        <w:rPr>
          <w:rFonts w:ascii="Times New Roman" w:hAnsi="Times New Roman" w:eastAsia="黑体"/>
          <w:color w:val="auto"/>
          <w:szCs w:val="21"/>
          <w:highlight w:val="none"/>
        </w:rPr>
      </w:pPr>
      <w:r>
        <w:rPr>
          <w:rFonts w:ascii="Times New Roman" w:hAnsi="Times New Roman" w:eastAsia="黑体"/>
          <w:szCs w:val="21"/>
          <w:highlight w:val="none"/>
        </w:rPr>
        <w:t>4、</w:t>
      </w:r>
      <w:r>
        <w:rPr>
          <w:rFonts w:hint="eastAsia" w:ascii="Times New Roman" w:hAnsi="Times New Roman" w:eastAsia="黑体"/>
          <w:szCs w:val="21"/>
          <w:highlight w:val="none"/>
        </w:rPr>
        <w:t>投标人填写的表格内容与证明材料内容不一致时，以证明材料内容为准；投标人填写的表格内容与证明材料内容不一致的，不属于重大偏差。</w:t>
      </w:r>
      <w:r>
        <w:rPr>
          <w:rFonts w:ascii="Times New Roman" w:hAnsi="Times New Roman" w:eastAsia="黑体"/>
          <w:szCs w:val="21"/>
          <w:highlight w:val="none"/>
        </w:rPr>
        <w:t>。</w:t>
      </w:r>
    </w:p>
    <w:p w14:paraId="43BE81C1">
      <w:pPr>
        <w:spacing w:line="360" w:lineRule="auto"/>
        <w:ind w:firstLine="0"/>
        <w:jc w:val="left"/>
        <w:rPr>
          <w:rFonts w:ascii="Times New Roman" w:hAnsi="Times New Roman" w:eastAsia="黑体" w:cs="Times New Roman"/>
          <w:i w:val="0"/>
          <w:iCs w:val="0"/>
          <w:caps w:val="0"/>
          <w:color w:val="auto"/>
          <w:spacing w:val="0"/>
          <w:sz w:val="21"/>
          <w:szCs w:val="21"/>
          <w:highlight w:val="none"/>
          <w:shd w:val="clear" w:color="auto" w:fill="auto"/>
        </w:rPr>
      </w:pPr>
      <w:r>
        <w:rPr>
          <w:rFonts w:hint="eastAsia" w:ascii="Times New Roman" w:hAnsi="Times New Roman" w:eastAsia="黑体"/>
          <w:color w:val="auto"/>
          <w:szCs w:val="21"/>
          <w:highlight w:val="none"/>
          <w:lang w:val="en-US" w:eastAsia="zh-CN"/>
        </w:rPr>
        <w:t>5</w:t>
      </w:r>
      <w:r>
        <w:rPr>
          <w:rFonts w:ascii="Times New Roman" w:hAnsi="Times New Roman" w:eastAsia="黑体"/>
          <w:color w:val="auto"/>
          <w:szCs w:val="21"/>
          <w:highlight w:val="none"/>
        </w:rPr>
        <w:t>、</w:t>
      </w:r>
      <w:r>
        <w:rPr>
          <w:rFonts w:hint="eastAsia" w:ascii="Times New Roman" w:hAnsi="Times New Roman" w:eastAsia="黑体"/>
          <w:color w:val="auto"/>
          <w:szCs w:val="21"/>
          <w:highlight w:val="none"/>
        </w:rPr>
        <w:t>投标人必须按照上述要求填报相应的表格，并提供相应证明材料，以证明其符合相应资格审查条件。</w:t>
      </w:r>
    </w:p>
    <w:p w14:paraId="2032A579">
      <w:pPr>
        <w:spacing w:line="360" w:lineRule="auto"/>
        <w:jc w:val="left"/>
        <w:rPr>
          <w:rFonts w:ascii="Times New Roman" w:hAnsi="Times New Roman" w:eastAsia="黑体"/>
          <w:color w:val="auto"/>
          <w:szCs w:val="21"/>
          <w:highlight w:val="none"/>
        </w:rPr>
      </w:pPr>
      <w:r>
        <w:rPr>
          <w:rFonts w:hint="default" w:ascii="Times New Roman" w:hAnsi="Times New Roman" w:eastAsia="黑体" w:cs="Times New Roman"/>
          <w:i w:val="0"/>
          <w:iCs w:val="0"/>
          <w:caps w:val="0"/>
          <w:color w:val="auto"/>
          <w:spacing w:val="0"/>
          <w:sz w:val="21"/>
          <w:szCs w:val="21"/>
          <w:highlight w:val="none"/>
          <w:shd w:val="clear" w:color="auto" w:fill="auto"/>
          <w:lang w:val="en-US" w:eastAsia="zh-CN"/>
        </w:rPr>
        <w:t>6、</w:t>
      </w:r>
      <w:r>
        <w:rPr>
          <w:rFonts w:ascii="Times New Roman" w:hAnsi="Times New Roman" w:eastAsia="黑体" w:cs="Times New Roman"/>
          <w:i w:val="0"/>
          <w:iCs w:val="0"/>
          <w:caps w:val="0"/>
          <w:color w:val="auto"/>
          <w:spacing w:val="0"/>
          <w:sz w:val="21"/>
          <w:szCs w:val="21"/>
          <w:highlight w:val="none"/>
          <w:shd w:val="clear" w:color="auto" w:fill="auto"/>
        </w:rPr>
        <w:t>投标人填写的表格内容与证明材料内容不一致时，以证明材料内容为准，投标人填写的表格内容与证明材料内容不一致的，不属于重大偏差。</w:t>
      </w:r>
    </w:p>
    <w:p w14:paraId="78CFD54D">
      <w:pPr>
        <w:widowControl/>
        <w:spacing w:line="360" w:lineRule="auto"/>
        <w:jc w:val="center"/>
        <w:outlineLvl w:val="1"/>
        <w:rPr>
          <w:rFonts w:ascii="Times New Roman" w:hAnsi="Times New Roman"/>
          <w:b/>
          <w:bCs/>
          <w:kern w:val="0"/>
          <w:sz w:val="24"/>
          <w:szCs w:val="24"/>
          <w:highlight w:val="none"/>
        </w:rPr>
      </w:pPr>
      <w:r>
        <w:rPr>
          <w:rFonts w:ascii="Times New Roman" w:hAnsi="Times New Roman"/>
          <w:sz w:val="24"/>
          <w:szCs w:val="24"/>
          <w:highlight w:val="none"/>
        </w:rPr>
        <w:br w:type="page"/>
      </w:r>
      <w:bookmarkStart w:id="27" w:name="_Toc22959"/>
      <w:bookmarkStart w:id="28" w:name="_Toc26786"/>
      <w:bookmarkStart w:id="29" w:name="_Toc16279"/>
      <w:r>
        <w:rPr>
          <w:rFonts w:ascii="Times New Roman" w:hAnsi="Times New Roman"/>
          <w:b/>
          <w:bCs/>
          <w:kern w:val="0"/>
          <w:sz w:val="24"/>
          <w:szCs w:val="24"/>
          <w:highlight w:val="none"/>
        </w:rPr>
        <w:t>附录2 资格审查条件(业绩要求)</w:t>
      </w:r>
      <w:bookmarkEnd w:id="27"/>
      <w:bookmarkEnd w:id="28"/>
      <w:bookmarkEnd w:id="29"/>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097"/>
      </w:tblGrid>
      <w:tr w14:paraId="5655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noWrap w:val="0"/>
            <w:vAlign w:val="center"/>
          </w:tcPr>
          <w:p w14:paraId="1C5553C4">
            <w:pPr>
              <w:spacing w:line="360" w:lineRule="auto"/>
              <w:jc w:val="center"/>
              <w:rPr>
                <w:rFonts w:ascii="Times New Roman" w:hAnsi="Times New Roman"/>
                <w:szCs w:val="21"/>
                <w:highlight w:val="none"/>
              </w:rPr>
            </w:pPr>
            <w:r>
              <w:rPr>
                <w:rFonts w:ascii="Times New Roman" w:hAnsi="Times New Roman"/>
                <w:szCs w:val="21"/>
                <w:highlight w:val="none"/>
              </w:rPr>
              <w:t>标段</w:t>
            </w:r>
          </w:p>
        </w:tc>
        <w:tc>
          <w:tcPr>
            <w:tcW w:w="7097" w:type="dxa"/>
            <w:noWrap w:val="0"/>
            <w:vAlign w:val="center"/>
          </w:tcPr>
          <w:p w14:paraId="0F54A8D4">
            <w:pPr>
              <w:spacing w:line="360" w:lineRule="auto"/>
              <w:jc w:val="center"/>
              <w:rPr>
                <w:rFonts w:ascii="Times New Roman" w:hAnsi="Times New Roman"/>
                <w:szCs w:val="21"/>
                <w:highlight w:val="none"/>
              </w:rPr>
            </w:pPr>
            <w:r>
              <w:rPr>
                <w:rFonts w:ascii="Times New Roman" w:hAnsi="Times New Roman"/>
                <w:szCs w:val="21"/>
                <w:highlight w:val="none"/>
              </w:rPr>
              <w:t>业绩最低要求</w:t>
            </w:r>
          </w:p>
        </w:tc>
      </w:tr>
      <w:tr w14:paraId="61DF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418" w:type="dxa"/>
            <w:noWrap w:val="0"/>
            <w:vAlign w:val="center"/>
          </w:tcPr>
          <w:p w14:paraId="0CBAD273">
            <w:pPr>
              <w:spacing w:line="360" w:lineRule="auto"/>
              <w:jc w:val="center"/>
              <w:rPr>
                <w:rFonts w:hint="eastAsia" w:ascii="Times New Roman" w:hAnsi="Times New Roman" w:eastAsia="宋体"/>
                <w:szCs w:val="21"/>
                <w:highlight w:val="none"/>
                <w:lang w:eastAsia="zh-CN"/>
              </w:rPr>
            </w:pPr>
            <w:r>
              <w:rPr>
                <w:rFonts w:hint="eastAsia" w:ascii="Times New Roman" w:hAnsi="Times New Roman" w:eastAsia="宋体"/>
                <w:sz w:val="21"/>
                <w:szCs w:val="21"/>
                <w:highlight w:val="none"/>
                <w:lang w:val="en-US" w:eastAsia="zh-CN"/>
              </w:rPr>
              <w:t>TW</w:t>
            </w:r>
            <w:r>
              <w:rPr>
                <w:rFonts w:hint="eastAsia" w:ascii="Times New Roman" w:hAnsi="Times New Roman" w:eastAsia="宋体"/>
                <w:color w:val="auto"/>
                <w:sz w:val="21"/>
                <w:szCs w:val="21"/>
                <w:highlight w:val="none"/>
                <w:lang w:val="en-US" w:eastAsia="zh-CN"/>
              </w:rPr>
              <w:t>BP</w:t>
            </w:r>
            <w:r>
              <w:rPr>
                <w:rFonts w:hint="eastAsia" w:ascii="Times New Roman" w:hAnsi="Times New Roman" w:eastAsia="宋体"/>
                <w:color w:val="auto"/>
                <w:sz w:val="21"/>
                <w:szCs w:val="21"/>
                <w:highlight w:val="none"/>
                <w:lang w:eastAsia="zh-CN"/>
              </w:rPr>
              <w:t>JC-1</w:t>
            </w:r>
          </w:p>
        </w:tc>
        <w:tc>
          <w:tcPr>
            <w:tcW w:w="7097" w:type="dxa"/>
            <w:noWrap w:val="0"/>
            <w:vAlign w:val="center"/>
          </w:tcPr>
          <w:p w14:paraId="18C5A100">
            <w:pPr>
              <w:spacing w:line="360" w:lineRule="auto"/>
              <w:ind w:firstLine="420" w:firstLineChars="200"/>
              <w:jc w:val="left"/>
              <w:rPr>
                <w:rFonts w:hint="eastAsia" w:ascii="Times New Roman" w:hAnsi="Times New Roman" w:eastAsia="宋体" w:cs="Times New Roman"/>
                <w:szCs w:val="21"/>
                <w:highlight w:val="none"/>
                <w:lang w:val="en-US" w:eastAsia="zh-CN"/>
              </w:rPr>
            </w:pPr>
          </w:p>
          <w:p w14:paraId="3C1FF37F">
            <w:pPr>
              <w:spacing w:line="360" w:lineRule="auto"/>
              <w:ind w:firstLine="420" w:firstLineChars="200"/>
              <w:jc w:val="left"/>
              <w:rPr>
                <w:rFonts w:hint="eastAsia" w:ascii="Times New Roman" w:hAnsi="Times New Roman" w:eastAsia="宋体"/>
                <w:szCs w:val="21"/>
                <w:highlight w:val="none"/>
                <w:lang w:val="en-US" w:eastAsia="zh-CN"/>
              </w:rPr>
            </w:pPr>
            <w:r>
              <w:rPr>
                <w:rFonts w:hint="eastAsia" w:ascii="Times New Roman" w:hAnsi="Times New Roman" w:eastAsia="宋体" w:cs="Times New Roman"/>
                <w:szCs w:val="21"/>
                <w:highlight w:val="none"/>
              </w:rPr>
              <w:t>近5年</w:t>
            </w:r>
            <w:r>
              <w:rPr>
                <w:rFonts w:hint="eastAsia" w:ascii="Times New Roman" w:hAnsi="Times New Roman" w:eastAsia="宋体" w:cs="Times New Roman"/>
                <w:szCs w:val="21"/>
                <w:highlight w:val="none"/>
                <w:lang w:val="en-US" w:eastAsia="zh-CN"/>
              </w:rPr>
              <w:t>完成</w:t>
            </w:r>
            <w:r>
              <w:rPr>
                <w:rFonts w:hint="eastAsia" w:ascii="Times New Roman" w:hAnsi="Times New Roman" w:eastAsia="宋体" w:cs="Times New Roman"/>
                <w:szCs w:val="21"/>
                <w:highlight w:val="none"/>
              </w:rPr>
              <w:t>过1个</w:t>
            </w:r>
            <w:r>
              <w:rPr>
                <w:rFonts w:hint="eastAsia" w:ascii="Times New Roman" w:hAnsi="Times New Roman" w:eastAsia="宋体" w:cs="Times New Roman"/>
                <w:szCs w:val="21"/>
                <w:highlight w:val="none"/>
                <w:lang w:eastAsia="zh-CN"/>
              </w:rPr>
              <w:t>高速公路项目的</w:t>
            </w:r>
            <w:r>
              <w:rPr>
                <w:rFonts w:hint="eastAsia" w:ascii="Times New Roman" w:hAnsi="Times New Roman" w:eastAsia="宋体" w:cs="Times New Roman"/>
                <w:sz w:val="21"/>
                <w:szCs w:val="21"/>
                <w:highlight w:val="none"/>
                <w:lang w:val="en-US" w:eastAsia="zh-CN"/>
              </w:rPr>
              <w:t>高</w:t>
            </w:r>
            <w:r>
              <w:rPr>
                <w:rFonts w:hint="eastAsia" w:ascii="Times New Roman" w:hAnsi="Times New Roman" w:eastAsia="宋体" w:cs="Times New Roman"/>
                <w:szCs w:val="21"/>
                <w:highlight w:val="none"/>
              </w:rPr>
              <w:t>边坡监测</w:t>
            </w:r>
            <w:r>
              <w:rPr>
                <w:rFonts w:hint="eastAsia" w:ascii="Times New Roman" w:hAnsi="Times New Roman" w:eastAsia="宋体" w:cs="Times New Roman"/>
                <w:szCs w:val="21"/>
                <w:highlight w:val="none"/>
                <w:lang w:eastAsia="zh-CN"/>
              </w:rPr>
              <w:t>工作。</w:t>
            </w:r>
          </w:p>
        </w:tc>
      </w:tr>
    </w:tbl>
    <w:p w14:paraId="52AE83A8">
      <w:pPr>
        <w:spacing w:line="360" w:lineRule="auto"/>
        <w:jc w:val="left"/>
        <w:rPr>
          <w:rFonts w:ascii="Times New Roman" w:hAnsi="Times New Roman" w:eastAsia="黑体"/>
          <w:szCs w:val="21"/>
          <w:highlight w:val="none"/>
        </w:rPr>
      </w:pPr>
      <w:r>
        <w:rPr>
          <w:rFonts w:ascii="Times New Roman" w:hAnsi="Times New Roman" w:eastAsia="黑体"/>
          <w:szCs w:val="21"/>
          <w:highlight w:val="none"/>
        </w:rPr>
        <w:t>注：</w:t>
      </w:r>
    </w:p>
    <w:p w14:paraId="6C8695D0">
      <w:pPr>
        <w:spacing w:line="360" w:lineRule="auto"/>
        <w:jc w:val="left"/>
        <w:rPr>
          <w:rFonts w:ascii="Times New Roman" w:hAnsi="Times New Roman" w:eastAsia="黑体"/>
          <w:szCs w:val="21"/>
          <w:highlight w:val="none"/>
        </w:rPr>
      </w:pPr>
      <w:r>
        <w:rPr>
          <w:rFonts w:ascii="Times New Roman" w:hAnsi="Times New Roman" w:eastAsia="黑体"/>
          <w:szCs w:val="21"/>
          <w:highlight w:val="none"/>
        </w:rPr>
        <w:t>1、</w:t>
      </w:r>
      <w:r>
        <w:rPr>
          <w:rFonts w:hint="eastAsia" w:ascii="Times New Roman" w:hAnsi="Times New Roman" w:eastAsia="黑体"/>
          <w:szCs w:val="21"/>
          <w:highlight w:val="none"/>
        </w:rPr>
        <w:t>投标人应填报投标文件格式资格审查资料“近年完成的类似项目情况表”，并在本表后附相应证明材料。</w:t>
      </w:r>
    </w:p>
    <w:p w14:paraId="6ED3E07D">
      <w:pPr>
        <w:spacing w:line="360" w:lineRule="auto"/>
        <w:jc w:val="left"/>
        <w:rPr>
          <w:rFonts w:hint="eastAsia" w:ascii="Times New Roman" w:hAnsi="Times New Roman" w:eastAsia="黑体"/>
          <w:szCs w:val="21"/>
        </w:rPr>
      </w:pPr>
      <w:r>
        <w:rPr>
          <w:rFonts w:ascii="Times New Roman" w:hAnsi="Times New Roman" w:eastAsia="黑体"/>
          <w:szCs w:val="21"/>
          <w:highlight w:val="none"/>
        </w:rPr>
        <w:t>2、业绩证明材料要求：</w:t>
      </w:r>
      <w:r>
        <w:rPr>
          <w:rFonts w:hint="eastAsia" w:ascii="Times New Roman" w:hAnsi="Times New Roman" w:eastAsia="黑体"/>
          <w:szCs w:val="21"/>
          <w:highlight w:val="none"/>
        </w:rPr>
        <w:t>需提供合同协议书</w:t>
      </w:r>
      <w:r>
        <w:rPr>
          <w:rFonts w:hint="eastAsia" w:ascii="Times New Roman" w:hAnsi="Times New Roman" w:eastAsia="黑体"/>
          <w:szCs w:val="21"/>
          <w:highlight w:val="none"/>
          <w:lang w:eastAsia="zh-CN"/>
        </w:rPr>
        <w:t>和发包人（或委托人）出具的标有履约完成时间的证明材料</w:t>
      </w:r>
      <w:r>
        <w:rPr>
          <w:rFonts w:hint="eastAsia" w:ascii="Times New Roman" w:hAnsi="Times New Roman" w:eastAsia="黑体"/>
          <w:szCs w:val="21"/>
          <w:lang w:eastAsia="zh-CN"/>
        </w:rPr>
        <w:t>，若上述材料无法体现资格审查条件要求的技术指标和投标人完成的具体任务，还应提供发包人（或委托人）出具的业绩证明材料，否则该业绩将不予认可</w:t>
      </w:r>
      <w:r>
        <w:rPr>
          <w:rFonts w:hint="eastAsia" w:ascii="Times New Roman" w:hAnsi="Times New Roman" w:eastAsia="黑体"/>
          <w:szCs w:val="21"/>
        </w:rPr>
        <w:t>。</w:t>
      </w:r>
    </w:p>
    <w:p w14:paraId="70E042C4">
      <w:pPr>
        <w:spacing w:line="360" w:lineRule="auto"/>
        <w:jc w:val="left"/>
        <w:rPr>
          <w:rFonts w:ascii="Times New Roman" w:hAnsi="Times New Roman" w:eastAsia="黑体"/>
          <w:szCs w:val="21"/>
        </w:rPr>
      </w:pPr>
      <w:r>
        <w:rPr>
          <w:rFonts w:hint="eastAsia" w:ascii="Times New Roman" w:hAnsi="Times New Roman" w:eastAsia="黑体"/>
          <w:szCs w:val="21"/>
          <w:lang w:val="en-US" w:eastAsia="zh-CN"/>
        </w:rPr>
        <w:t>3</w:t>
      </w:r>
      <w:r>
        <w:rPr>
          <w:rFonts w:ascii="Times New Roman" w:hAnsi="Times New Roman" w:eastAsia="黑体"/>
          <w:szCs w:val="21"/>
        </w:rPr>
        <w:t>、如近年来，投标人法人机构发生合法变更或重组或法人名称变更时，应提供相关部门的合法批件及其他相关证明材料来证明其所附业绩的继承性。在对投标人进行业绩审查时，如果投标人是由若干直接被管理的子公司组成的母公司，其业绩仅以其名义签署的合同计算，其直接管理的子公司业绩均不予考虑。如果投标人是某一母公司直接管理的子公司，其业绩亦不能以其母公司的名义计算。</w:t>
      </w:r>
    </w:p>
    <w:p w14:paraId="3F9501E3">
      <w:pPr>
        <w:spacing w:line="360" w:lineRule="auto"/>
        <w:jc w:val="left"/>
        <w:rPr>
          <w:rFonts w:ascii="Times New Roman" w:hAnsi="Times New Roman" w:eastAsia="黑体"/>
          <w:szCs w:val="21"/>
        </w:rPr>
      </w:pPr>
      <w:r>
        <w:rPr>
          <w:rFonts w:hint="eastAsia" w:ascii="Times New Roman" w:hAnsi="Times New Roman" w:eastAsia="黑体"/>
          <w:szCs w:val="21"/>
          <w:lang w:val="en-US" w:eastAsia="zh-CN"/>
        </w:rPr>
        <w:t>4</w:t>
      </w:r>
      <w:r>
        <w:rPr>
          <w:rFonts w:ascii="Times New Roman" w:hAnsi="Times New Roman" w:eastAsia="黑体"/>
          <w:szCs w:val="21"/>
        </w:rPr>
        <w:t>、</w:t>
      </w:r>
      <w:r>
        <w:rPr>
          <w:rFonts w:hint="eastAsia" w:ascii="Times New Roman" w:hAnsi="Times New Roman" w:eastAsia="黑体"/>
          <w:szCs w:val="21"/>
          <w:lang w:eastAsia="zh-CN"/>
        </w:rPr>
        <w:t>近5年，为2021年1月1日至投标截止日期前一日，以发包人（或委托人）出具的标有履约完成时间的证明材料时间为准</w:t>
      </w:r>
      <w:r>
        <w:rPr>
          <w:rFonts w:ascii="Times New Roman" w:hAnsi="Times New Roman" w:eastAsia="黑体"/>
          <w:szCs w:val="21"/>
        </w:rPr>
        <w:t>。</w:t>
      </w:r>
    </w:p>
    <w:p w14:paraId="051F7B43">
      <w:pPr>
        <w:spacing w:line="360" w:lineRule="auto"/>
        <w:jc w:val="left"/>
        <w:rPr>
          <w:rFonts w:hint="eastAsia" w:ascii="Times New Roman" w:hAnsi="Times New Roman" w:eastAsia="宋体" w:cs="Times New Roman"/>
          <w:szCs w:val="21"/>
          <w:highlight w:val="none"/>
          <w:lang w:val="en-US" w:eastAsia="zh-CN"/>
        </w:rPr>
      </w:pPr>
      <w:r>
        <w:rPr>
          <w:rFonts w:hint="eastAsia" w:ascii="Times New Roman" w:hAnsi="Times New Roman" w:eastAsia="黑体"/>
          <w:szCs w:val="21"/>
          <w:lang w:val="en-US" w:eastAsia="zh-CN"/>
        </w:rPr>
        <w:t>5</w:t>
      </w:r>
      <w:r>
        <w:rPr>
          <w:rFonts w:ascii="Times New Roman" w:hAnsi="Times New Roman" w:eastAsia="黑体"/>
          <w:szCs w:val="21"/>
        </w:rPr>
        <w:t>、</w:t>
      </w:r>
      <w:r>
        <w:rPr>
          <w:rFonts w:hint="eastAsia" w:ascii="Times New Roman" w:hAnsi="Times New Roman" w:eastAsia="黑体" w:cs="Times New Roman"/>
          <w:szCs w:val="21"/>
          <w:highlight w:val="none"/>
          <w:lang w:val="en-US" w:eastAsia="zh-CN"/>
        </w:rPr>
        <w:t>高边坡是指：根据《公路路基设计规范》（JTG D30—2015），路基填土边坡高度大于 20m 的高路堤，土质挖方边坡高度大于 20m 或岩石挖方边坡高度大于 30m 的深路堑。</w:t>
      </w:r>
    </w:p>
    <w:p w14:paraId="6F660FCE">
      <w:pPr>
        <w:spacing w:line="360" w:lineRule="auto"/>
        <w:jc w:val="left"/>
        <w:rPr>
          <w:rFonts w:ascii="Times New Roman" w:hAnsi="Times New Roman" w:eastAsia="黑体"/>
          <w:color w:val="auto"/>
          <w:szCs w:val="21"/>
        </w:rPr>
      </w:pPr>
      <w:r>
        <w:rPr>
          <w:rFonts w:hint="eastAsia" w:ascii="Times New Roman" w:hAnsi="Times New Roman" w:cs="Times New Roman"/>
          <w:szCs w:val="21"/>
          <w:highlight w:val="none"/>
          <w:lang w:val="en-US" w:eastAsia="zh-CN"/>
        </w:rPr>
        <w:t>6</w:t>
      </w:r>
      <w:r>
        <w:rPr>
          <w:rFonts w:hint="eastAsia" w:ascii="Times New Roman" w:hAnsi="Times New Roman" w:eastAsia="宋体" w:cs="Times New Roman"/>
          <w:szCs w:val="21"/>
          <w:highlight w:val="none"/>
          <w:lang w:val="en-US" w:eastAsia="zh-CN"/>
        </w:rPr>
        <w:t>、</w:t>
      </w:r>
      <w:r>
        <w:rPr>
          <w:rFonts w:ascii="Times New Roman" w:hAnsi="Times New Roman" w:eastAsia="黑体"/>
          <w:szCs w:val="21"/>
        </w:rPr>
        <w:t>投标人必须按照上述要求填报相应的表格，并提供相应证明材料，以证明其符合相应资格审查条件。</w:t>
      </w:r>
    </w:p>
    <w:p w14:paraId="3D90B177">
      <w:pPr>
        <w:spacing w:line="360" w:lineRule="auto"/>
        <w:jc w:val="left"/>
        <w:rPr>
          <w:rFonts w:ascii="Times New Roman" w:hAnsi="Times New Roman" w:eastAsia="黑体"/>
          <w:color w:val="auto"/>
          <w:szCs w:val="21"/>
        </w:rPr>
      </w:pPr>
      <w:r>
        <w:rPr>
          <w:rFonts w:hint="eastAsia" w:ascii="Times New Roman" w:hAnsi="Times New Roman" w:eastAsia="黑体"/>
          <w:color w:val="auto"/>
          <w:szCs w:val="21"/>
          <w:lang w:val="en-US" w:eastAsia="zh-CN"/>
        </w:rPr>
        <w:t>7</w:t>
      </w:r>
      <w:r>
        <w:rPr>
          <w:rFonts w:ascii="Times New Roman" w:hAnsi="Times New Roman" w:eastAsia="黑体"/>
          <w:color w:val="auto"/>
          <w:szCs w:val="21"/>
        </w:rPr>
        <w:t>、上述要求与投标文件格式资格审查资料“</w:t>
      </w:r>
      <w:r>
        <w:rPr>
          <w:rFonts w:hint="eastAsia" w:ascii="Times New Roman" w:hAnsi="Times New Roman" w:eastAsia="黑体"/>
          <w:color w:val="auto"/>
          <w:szCs w:val="21"/>
          <w:lang w:eastAsia="zh-CN"/>
        </w:rPr>
        <w:t>近年承担过的类似项目情况表</w:t>
      </w:r>
      <w:r>
        <w:rPr>
          <w:rFonts w:ascii="Times New Roman" w:hAnsi="Times New Roman" w:eastAsia="黑体"/>
          <w:color w:val="auto"/>
          <w:szCs w:val="21"/>
        </w:rPr>
        <w:t>”注的内容不一致的，以上述要求为准。</w:t>
      </w:r>
    </w:p>
    <w:p w14:paraId="5BFDE1C8">
      <w:pPr>
        <w:spacing w:line="360" w:lineRule="auto"/>
        <w:jc w:val="left"/>
        <w:rPr>
          <w:rFonts w:hint="eastAsia" w:ascii="Times New Roman" w:hAnsi="Times New Roman" w:eastAsia="黑体" w:cs="Times New Roman"/>
          <w:color w:val="auto"/>
          <w:szCs w:val="21"/>
          <w:lang w:val="en-US" w:eastAsia="zh-CN"/>
        </w:rPr>
      </w:pPr>
      <w:r>
        <w:rPr>
          <w:rFonts w:hint="eastAsia" w:ascii="Times New Roman" w:hAnsi="Times New Roman" w:eastAsia="黑体" w:cs="Times New Roman"/>
          <w:i w:val="0"/>
          <w:iCs w:val="0"/>
          <w:caps w:val="0"/>
          <w:color w:val="auto"/>
          <w:spacing w:val="0"/>
          <w:sz w:val="21"/>
          <w:szCs w:val="21"/>
          <w:shd w:val="clear" w:color="auto" w:fill="auto"/>
          <w:lang w:val="en-US" w:eastAsia="zh-CN"/>
        </w:rPr>
        <w:t>8</w:t>
      </w:r>
      <w:r>
        <w:rPr>
          <w:rFonts w:hint="eastAsia" w:ascii="Times New Roman" w:hAnsi="Times New Roman" w:eastAsia="黑体" w:cs="Times New Roman"/>
          <w:i w:val="0"/>
          <w:iCs w:val="0"/>
          <w:caps w:val="0"/>
          <w:color w:val="auto"/>
          <w:spacing w:val="0"/>
          <w:sz w:val="21"/>
          <w:szCs w:val="21"/>
          <w:shd w:val="clear" w:color="auto" w:fill="auto"/>
        </w:rPr>
        <w:t>、投标人填写的表格内容与证明材料内容不一致时，以证明材料内容为准，投标人填写的表格内容与证明材料内容不一致的，不属于重大偏差。</w:t>
      </w:r>
    </w:p>
    <w:p w14:paraId="466D309B">
      <w:pPr>
        <w:widowControl/>
        <w:spacing w:line="360" w:lineRule="auto"/>
        <w:jc w:val="center"/>
        <w:outlineLvl w:val="1"/>
        <w:rPr>
          <w:rFonts w:ascii="Times New Roman" w:hAnsi="Times New Roman"/>
          <w:kern w:val="0"/>
          <w:sz w:val="24"/>
          <w:szCs w:val="24"/>
        </w:rPr>
      </w:pPr>
      <w:r>
        <w:rPr>
          <w:rFonts w:ascii="Times New Roman" w:hAnsi="Times New Roman"/>
          <w:sz w:val="24"/>
          <w:szCs w:val="24"/>
        </w:rPr>
        <w:br w:type="page"/>
      </w:r>
      <w:bookmarkStart w:id="30" w:name="_Toc7805"/>
      <w:bookmarkStart w:id="31" w:name="_Toc15185"/>
      <w:bookmarkStart w:id="32" w:name="_Toc31197"/>
      <w:r>
        <w:rPr>
          <w:rFonts w:ascii="Times New Roman" w:hAnsi="Times New Roman"/>
          <w:b/>
          <w:bCs/>
          <w:kern w:val="0"/>
          <w:sz w:val="24"/>
          <w:szCs w:val="24"/>
        </w:rPr>
        <w:t>附录3 资格审查条件(主要人员要求)</w:t>
      </w:r>
      <w:bookmarkEnd w:id="30"/>
      <w:bookmarkEnd w:id="31"/>
      <w:bookmarkEnd w:id="32"/>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388"/>
        <w:gridCol w:w="837"/>
        <w:gridCol w:w="4872"/>
      </w:tblGrid>
      <w:tr w14:paraId="28C4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noWrap w:val="0"/>
            <w:vAlign w:val="center"/>
          </w:tcPr>
          <w:p w14:paraId="7AF01880">
            <w:pPr>
              <w:spacing w:line="360" w:lineRule="auto"/>
              <w:jc w:val="center"/>
              <w:rPr>
                <w:rFonts w:ascii="Times New Roman" w:hAnsi="Times New Roman"/>
                <w:szCs w:val="21"/>
                <w:highlight w:val="white"/>
              </w:rPr>
            </w:pPr>
            <w:r>
              <w:rPr>
                <w:rFonts w:ascii="Times New Roman" w:hAnsi="Times New Roman"/>
                <w:szCs w:val="21"/>
              </w:rPr>
              <w:t>标段</w:t>
            </w:r>
          </w:p>
        </w:tc>
        <w:tc>
          <w:tcPr>
            <w:tcW w:w="1388" w:type="dxa"/>
            <w:noWrap w:val="0"/>
            <w:vAlign w:val="center"/>
          </w:tcPr>
          <w:p w14:paraId="7B69B346">
            <w:pPr>
              <w:spacing w:line="360" w:lineRule="auto"/>
              <w:jc w:val="center"/>
              <w:rPr>
                <w:rFonts w:ascii="Times New Roman" w:hAnsi="Times New Roman"/>
                <w:szCs w:val="21"/>
                <w:highlight w:val="white"/>
              </w:rPr>
            </w:pPr>
            <w:r>
              <w:rPr>
                <w:rFonts w:ascii="Times New Roman" w:hAnsi="Times New Roman"/>
                <w:szCs w:val="21"/>
              </w:rPr>
              <w:t>人员</w:t>
            </w:r>
          </w:p>
        </w:tc>
        <w:tc>
          <w:tcPr>
            <w:tcW w:w="837" w:type="dxa"/>
            <w:noWrap w:val="0"/>
            <w:vAlign w:val="center"/>
          </w:tcPr>
          <w:p w14:paraId="195C7B96">
            <w:pPr>
              <w:spacing w:line="360" w:lineRule="auto"/>
              <w:jc w:val="center"/>
              <w:rPr>
                <w:rFonts w:ascii="Times New Roman" w:hAnsi="Times New Roman"/>
                <w:szCs w:val="21"/>
                <w:highlight w:val="white"/>
              </w:rPr>
            </w:pPr>
            <w:r>
              <w:rPr>
                <w:rFonts w:ascii="Times New Roman" w:hAnsi="Times New Roman"/>
                <w:szCs w:val="21"/>
                <w:highlight w:val="white"/>
              </w:rPr>
              <w:t>数量</w:t>
            </w:r>
          </w:p>
        </w:tc>
        <w:tc>
          <w:tcPr>
            <w:tcW w:w="4872" w:type="dxa"/>
            <w:noWrap w:val="0"/>
            <w:vAlign w:val="center"/>
          </w:tcPr>
          <w:p w14:paraId="087F4216">
            <w:pPr>
              <w:spacing w:line="360" w:lineRule="auto"/>
              <w:jc w:val="center"/>
              <w:rPr>
                <w:rFonts w:ascii="Times New Roman" w:hAnsi="Times New Roman"/>
                <w:szCs w:val="21"/>
                <w:highlight w:val="white"/>
              </w:rPr>
            </w:pPr>
            <w:r>
              <w:rPr>
                <w:rFonts w:ascii="Times New Roman" w:hAnsi="Times New Roman"/>
                <w:szCs w:val="21"/>
              </w:rPr>
              <w:t>人员最低要求</w:t>
            </w:r>
          </w:p>
        </w:tc>
      </w:tr>
      <w:tr w14:paraId="43E2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jc w:val="center"/>
        </w:trPr>
        <w:tc>
          <w:tcPr>
            <w:tcW w:w="1418" w:type="dxa"/>
            <w:vMerge w:val="restart"/>
            <w:noWrap w:val="0"/>
            <w:vAlign w:val="center"/>
          </w:tcPr>
          <w:p w14:paraId="2ED3ED22">
            <w:pPr>
              <w:spacing w:line="360" w:lineRule="auto"/>
              <w:jc w:val="center"/>
              <w:rPr>
                <w:rFonts w:hint="eastAsia" w:ascii="Times New Roman" w:hAnsi="Times New Roman" w:eastAsia="宋体"/>
                <w:szCs w:val="21"/>
                <w:highlight w:val="none"/>
                <w:lang w:eastAsia="zh-CN"/>
              </w:rPr>
            </w:pPr>
            <w:r>
              <w:rPr>
                <w:rFonts w:hint="eastAsia" w:ascii="Times New Roman" w:hAnsi="Times New Roman"/>
                <w:szCs w:val="21"/>
                <w:highlight w:val="none"/>
              </w:rPr>
              <w:t>TWBPJC-1</w:t>
            </w:r>
          </w:p>
        </w:tc>
        <w:tc>
          <w:tcPr>
            <w:tcW w:w="1388" w:type="dxa"/>
            <w:noWrap w:val="0"/>
            <w:vAlign w:val="center"/>
          </w:tcPr>
          <w:p w14:paraId="50D9E405">
            <w:pPr>
              <w:spacing w:line="360" w:lineRule="auto"/>
              <w:jc w:val="center"/>
              <w:rPr>
                <w:rFonts w:hint="eastAsia" w:ascii="Times New Roman" w:hAnsi="Times New Roman" w:eastAsia="宋体"/>
                <w:szCs w:val="21"/>
                <w:highlight w:val="none"/>
                <w:lang w:eastAsia="zh-CN"/>
              </w:rPr>
            </w:pPr>
            <w:r>
              <w:rPr>
                <w:rFonts w:ascii="Times New Roman" w:hAnsi="Times New Roman"/>
                <w:szCs w:val="21"/>
                <w:highlight w:val="none"/>
              </w:rPr>
              <w:t>项目负责人</w:t>
            </w:r>
          </w:p>
        </w:tc>
        <w:tc>
          <w:tcPr>
            <w:tcW w:w="837" w:type="dxa"/>
            <w:noWrap w:val="0"/>
            <w:vAlign w:val="center"/>
          </w:tcPr>
          <w:p w14:paraId="5B9EEABB">
            <w:pPr>
              <w:spacing w:line="360" w:lineRule="auto"/>
              <w:jc w:val="center"/>
              <w:rPr>
                <w:rFonts w:ascii="Times New Roman" w:hAnsi="Times New Roman"/>
                <w:szCs w:val="21"/>
                <w:highlight w:val="none"/>
              </w:rPr>
            </w:pPr>
            <w:r>
              <w:rPr>
                <w:rFonts w:ascii="Times New Roman" w:hAnsi="Times New Roman"/>
                <w:szCs w:val="21"/>
                <w:highlight w:val="none"/>
              </w:rPr>
              <w:t>1</w:t>
            </w:r>
          </w:p>
        </w:tc>
        <w:tc>
          <w:tcPr>
            <w:tcW w:w="4872" w:type="dxa"/>
            <w:noWrap w:val="0"/>
            <w:vAlign w:val="center"/>
          </w:tcPr>
          <w:p w14:paraId="4A10C2C7">
            <w:pPr>
              <w:spacing w:line="360" w:lineRule="auto"/>
              <w:ind w:firstLine="0" w:firstLineChars="0"/>
              <w:jc w:val="left"/>
              <w:rPr>
                <w:rFonts w:hint="default" w:ascii="Times New Roman" w:hAnsi="Times New Roman" w:eastAsia="宋体"/>
                <w:szCs w:val="21"/>
                <w:highlight w:val="none"/>
                <w:lang w:val="en-US" w:eastAsia="zh-CN"/>
              </w:rPr>
            </w:pPr>
            <w:r>
              <w:rPr>
                <w:rFonts w:ascii="Times New Roman" w:hAnsi="Times New Roman"/>
                <w:szCs w:val="21"/>
                <w:highlight w:val="none"/>
              </w:rPr>
              <w:t>同时具备</w:t>
            </w:r>
            <w:r>
              <w:rPr>
                <w:rFonts w:hint="eastAsia" w:ascii="Times New Roman" w:hAnsi="Times New Roman"/>
                <w:szCs w:val="21"/>
                <w:highlight w:val="none"/>
                <w:lang w:eastAsia="zh-CN"/>
              </w:rPr>
              <w:t>：</w:t>
            </w:r>
          </w:p>
          <w:p w14:paraId="30FC74DA">
            <w:pPr>
              <w:spacing w:line="360" w:lineRule="auto"/>
              <w:ind w:firstLine="420" w:firstLineChars="200"/>
              <w:jc w:val="left"/>
              <w:rPr>
                <w:rFonts w:ascii="Times New Roman" w:hAnsi="Times New Roman"/>
                <w:szCs w:val="21"/>
                <w:highlight w:val="none"/>
              </w:rPr>
            </w:pPr>
            <w:r>
              <w:rPr>
                <w:rFonts w:ascii="Times New Roman" w:hAnsi="Times New Roman"/>
                <w:szCs w:val="21"/>
                <w:highlight w:val="none"/>
              </w:rPr>
              <w:t>1、</w:t>
            </w:r>
            <w:r>
              <w:rPr>
                <w:rFonts w:hint="eastAsia" w:ascii="Times New Roman" w:hAnsi="Times New Roman"/>
                <w:szCs w:val="21"/>
                <w:highlight w:val="none"/>
              </w:rPr>
              <w:t>高级工程师或副教授或副研究员</w:t>
            </w:r>
            <w:r>
              <w:rPr>
                <w:rFonts w:ascii="Times New Roman" w:hAnsi="Times New Roman"/>
                <w:szCs w:val="21"/>
                <w:highlight w:val="none"/>
              </w:rPr>
              <w:t>；</w:t>
            </w:r>
          </w:p>
          <w:p w14:paraId="2763D381">
            <w:pPr>
              <w:spacing w:line="360" w:lineRule="auto"/>
              <w:ind w:firstLine="420" w:firstLineChars="200"/>
              <w:jc w:val="left"/>
              <w:rPr>
                <w:rFonts w:ascii="Times New Roman" w:hAnsi="Times New Roman"/>
                <w:szCs w:val="21"/>
                <w:highlight w:val="none"/>
              </w:rPr>
            </w:pPr>
            <w:r>
              <w:rPr>
                <w:rFonts w:ascii="Times New Roman" w:hAnsi="Times New Roman"/>
                <w:szCs w:val="21"/>
                <w:highlight w:val="none"/>
              </w:rPr>
              <w:t>2、近5年担任过1个</w:t>
            </w:r>
            <w:r>
              <w:rPr>
                <w:rFonts w:hint="eastAsia" w:ascii="Times New Roman" w:hAnsi="Times New Roman"/>
                <w:szCs w:val="21"/>
                <w:highlight w:val="none"/>
              </w:rPr>
              <w:t>高速公路项目的高边坡监测</w:t>
            </w:r>
            <w:r>
              <w:rPr>
                <w:rFonts w:hint="eastAsia" w:ascii="Times New Roman" w:hAnsi="Times New Roman"/>
                <w:szCs w:val="21"/>
                <w:highlight w:val="none"/>
                <w:lang w:val="en-US" w:eastAsia="zh-CN"/>
              </w:rPr>
              <w:t>项目</w:t>
            </w:r>
            <w:r>
              <w:rPr>
                <w:rFonts w:ascii="Times New Roman" w:hAnsi="Times New Roman"/>
                <w:szCs w:val="21"/>
                <w:highlight w:val="none"/>
              </w:rPr>
              <w:t>的项目负责人或技术负责人。</w:t>
            </w:r>
          </w:p>
        </w:tc>
      </w:tr>
      <w:tr w14:paraId="0127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atLeast"/>
          <w:jc w:val="center"/>
        </w:trPr>
        <w:tc>
          <w:tcPr>
            <w:tcW w:w="1418" w:type="dxa"/>
            <w:vMerge w:val="continue"/>
            <w:noWrap w:val="0"/>
            <w:vAlign w:val="center"/>
          </w:tcPr>
          <w:p w14:paraId="3E906DE0">
            <w:pPr>
              <w:spacing w:line="360" w:lineRule="auto"/>
              <w:jc w:val="center"/>
              <w:rPr>
                <w:rFonts w:ascii="Times New Roman" w:hAnsi="Times New Roman"/>
                <w:szCs w:val="21"/>
                <w:highlight w:val="none"/>
              </w:rPr>
            </w:pPr>
          </w:p>
        </w:tc>
        <w:tc>
          <w:tcPr>
            <w:tcW w:w="1388" w:type="dxa"/>
            <w:noWrap w:val="0"/>
            <w:vAlign w:val="center"/>
          </w:tcPr>
          <w:p w14:paraId="7D0CEEDB">
            <w:pPr>
              <w:spacing w:line="360" w:lineRule="auto"/>
              <w:jc w:val="center"/>
              <w:rPr>
                <w:rFonts w:ascii="Times New Roman" w:hAnsi="Times New Roman"/>
                <w:szCs w:val="21"/>
                <w:highlight w:val="none"/>
              </w:rPr>
            </w:pPr>
            <w:r>
              <w:rPr>
                <w:rFonts w:ascii="Times New Roman" w:hAnsi="Times New Roman"/>
                <w:szCs w:val="21"/>
                <w:highlight w:val="none"/>
              </w:rPr>
              <w:t>技术负责人</w:t>
            </w:r>
          </w:p>
        </w:tc>
        <w:tc>
          <w:tcPr>
            <w:tcW w:w="837" w:type="dxa"/>
            <w:noWrap w:val="0"/>
            <w:vAlign w:val="center"/>
          </w:tcPr>
          <w:p w14:paraId="1E902192">
            <w:pPr>
              <w:spacing w:line="360" w:lineRule="auto"/>
              <w:jc w:val="center"/>
              <w:rPr>
                <w:rFonts w:hint="eastAsia" w:ascii="Times New Roman" w:hAnsi="Times New Roman" w:eastAsia="宋体"/>
                <w:szCs w:val="21"/>
                <w:highlight w:val="none"/>
                <w:lang w:val="en-US" w:eastAsia="zh-CN"/>
              </w:rPr>
            </w:pPr>
            <w:r>
              <w:rPr>
                <w:rFonts w:ascii="Times New Roman" w:hAnsi="Times New Roman"/>
                <w:szCs w:val="21"/>
                <w:highlight w:val="none"/>
              </w:rPr>
              <w:t>1</w:t>
            </w:r>
          </w:p>
        </w:tc>
        <w:tc>
          <w:tcPr>
            <w:tcW w:w="4872" w:type="dxa"/>
            <w:noWrap w:val="0"/>
            <w:vAlign w:val="center"/>
          </w:tcPr>
          <w:p w14:paraId="7E5FD600">
            <w:pPr>
              <w:spacing w:line="360" w:lineRule="auto"/>
              <w:ind w:firstLine="0" w:firstLineChars="0"/>
              <w:jc w:val="left"/>
              <w:rPr>
                <w:rFonts w:ascii="Times New Roman" w:hAnsi="Times New Roman"/>
                <w:szCs w:val="21"/>
                <w:highlight w:val="none"/>
              </w:rPr>
            </w:pPr>
            <w:r>
              <w:rPr>
                <w:rFonts w:ascii="Times New Roman" w:hAnsi="Times New Roman"/>
                <w:szCs w:val="21"/>
                <w:highlight w:val="none"/>
              </w:rPr>
              <w:t>同时具备：</w:t>
            </w:r>
          </w:p>
          <w:p w14:paraId="3E02A576">
            <w:pPr>
              <w:spacing w:line="360" w:lineRule="auto"/>
              <w:ind w:firstLine="420" w:firstLineChars="200"/>
              <w:jc w:val="left"/>
              <w:rPr>
                <w:rFonts w:ascii="Times New Roman" w:hAnsi="Times New Roman"/>
                <w:szCs w:val="21"/>
                <w:highlight w:val="none"/>
              </w:rPr>
            </w:pPr>
            <w:r>
              <w:rPr>
                <w:rFonts w:ascii="Times New Roman" w:hAnsi="Times New Roman"/>
                <w:szCs w:val="21"/>
                <w:highlight w:val="none"/>
              </w:rPr>
              <w:t>1、高级工程师或副教授或副研究员；</w:t>
            </w:r>
          </w:p>
          <w:p w14:paraId="5EBFF0D4">
            <w:pPr>
              <w:spacing w:line="360" w:lineRule="auto"/>
              <w:ind w:firstLine="420" w:firstLineChars="200"/>
              <w:jc w:val="left"/>
              <w:rPr>
                <w:rFonts w:ascii="Times New Roman" w:hAnsi="Times New Roman"/>
                <w:szCs w:val="21"/>
                <w:highlight w:val="none"/>
              </w:rPr>
            </w:pPr>
            <w:r>
              <w:rPr>
                <w:rFonts w:ascii="Times New Roman" w:hAnsi="Times New Roman"/>
                <w:szCs w:val="21"/>
                <w:highlight w:val="none"/>
              </w:rPr>
              <w:t>2、近5年担任过1个</w:t>
            </w:r>
            <w:r>
              <w:rPr>
                <w:rFonts w:hint="eastAsia" w:ascii="Times New Roman" w:hAnsi="Times New Roman"/>
                <w:szCs w:val="21"/>
                <w:highlight w:val="none"/>
                <w:lang w:val="en-US" w:eastAsia="zh-CN"/>
              </w:rPr>
              <w:t>高速公路项目的高边坡监测项目的项目负责人或技术负责人</w:t>
            </w:r>
            <w:r>
              <w:rPr>
                <w:rFonts w:ascii="Times New Roman" w:hAnsi="Times New Roman"/>
                <w:szCs w:val="21"/>
                <w:highlight w:val="none"/>
              </w:rPr>
              <w:t>。</w:t>
            </w:r>
          </w:p>
        </w:tc>
      </w:tr>
    </w:tbl>
    <w:p w14:paraId="17C747B3">
      <w:pPr>
        <w:spacing w:line="360" w:lineRule="auto"/>
        <w:jc w:val="left"/>
        <w:rPr>
          <w:rFonts w:ascii="Times New Roman" w:hAnsi="Times New Roman" w:eastAsia="黑体"/>
          <w:szCs w:val="21"/>
        </w:rPr>
      </w:pPr>
      <w:r>
        <w:rPr>
          <w:rFonts w:ascii="Times New Roman" w:hAnsi="Times New Roman" w:eastAsia="黑体"/>
          <w:szCs w:val="21"/>
        </w:rPr>
        <w:t>注：</w:t>
      </w:r>
    </w:p>
    <w:p w14:paraId="2B331F2E">
      <w:pPr>
        <w:spacing w:line="360" w:lineRule="auto"/>
        <w:jc w:val="left"/>
        <w:rPr>
          <w:rFonts w:hint="eastAsia" w:ascii="Times New Roman" w:hAnsi="Times New Roman" w:eastAsia="黑体"/>
          <w:szCs w:val="21"/>
        </w:rPr>
      </w:pPr>
      <w:r>
        <w:rPr>
          <w:rFonts w:ascii="Times New Roman" w:hAnsi="Times New Roman" w:eastAsia="黑体"/>
          <w:szCs w:val="21"/>
        </w:rPr>
        <w:t>1、</w:t>
      </w:r>
      <w:r>
        <w:rPr>
          <w:rFonts w:hint="eastAsia" w:ascii="Times New Roman" w:hAnsi="Times New Roman" w:eastAsia="黑体"/>
          <w:szCs w:val="21"/>
        </w:rPr>
        <w:t>投标人应填报投标文件格式资格审查资料“拟委任的项目负责人简历表”、“拟委任的技术负责人简历表”，并在相应表后附相应证明材料。</w:t>
      </w:r>
    </w:p>
    <w:p w14:paraId="481E1C14">
      <w:pPr>
        <w:spacing w:line="360" w:lineRule="auto"/>
        <w:jc w:val="left"/>
        <w:rPr>
          <w:rFonts w:hint="eastAsia" w:ascii="Times New Roman" w:hAnsi="Times New Roman" w:eastAsia="黑体"/>
          <w:szCs w:val="21"/>
        </w:rPr>
      </w:pPr>
      <w:r>
        <w:rPr>
          <w:rFonts w:hint="eastAsia" w:ascii="Times New Roman" w:hAnsi="Times New Roman" w:eastAsia="黑体"/>
          <w:szCs w:val="21"/>
        </w:rPr>
        <w:t>2、项目负责人、技术负责人证书证明材料要求：投标人应提供有效的职称证的扫描件。</w:t>
      </w:r>
    </w:p>
    <w:p w14:paraId="34639773">
      <w:pPr>
        <w:spacing w:line="360" w:lineRule="auto"/>
        <w:jc w:val="left"/>
        <w:rPr>
          <w:rFonts w:hint="eastAsia" w:ascii="Times New Roman" w:hAnsi="Times New Roman" w:eastAsia="黑体"/>
          <w:szCs w:val="21"/>
          <w:lang w:eastAsia="zh-CN"/>
        </w:rPr>
      </w:pPr>
      <w:r>
        <w:rPr>
          <w:rFonts w:hint="eastAsia" w:ascii="Times New Roman" w:hAnsi="Times New Roman" w:eastAsia="黑体"/>
          <w:szCs w:val="21"/>
        </w:rPr>
        <w:t>3、项目负责人、技术负责人业绩证明材料要求：</w:t>
      </w:r>
      <w:r>
        <w:rPr>
          <w:rFonts w:hint="eastAsia" w:ascii="Times New Roman" w:hAnsi="Times New Roman" w:eastAsia="黑体"/>
          <w:szCs w:val="21"/>
          <w:lang w:eastAsia="zh-CN"/>
        </w:rPr>
        <w:t>上述人员应同时提供相关业绩的合同协议书、发包人（或委托人）出具的标有履约完成时间的证明材料的扫描件，且上述材料应体现资格审查条件要求的技术指标和人员任职情况，否则该业绩将不予认可。</w:t>
      </w:r>
    </w:p>
    <w:p w14:paraId="5F370500">
      <w:pPr>
        <w:spacing w:line="360" w:lineRule="auto"/>
        <w:jc w:val="left"/>
        <w:rPr>
          <w:rFonts w:hint="eastAsia" w:ascii="Times New Roman" w:hAnsi="Times New Roman" w:eastAsia="黑体"/>
          <w:szCs w:val="21"/>
          <w:lang w:eastAsia="zh-CN"/>
        </w:rPr>
      </w:pPr>
      <w:r>
        <w:rPr>
          <w:rFonts w:hint="eastAsia" w:ascii="Times New Roman" w:hAnsi="Times New Roman" w:eastAsia="黑体"/>
          <w:szCs w:val="21"/>
        </w:rPr>
        <w:t>4、投标人还需提供上述主要人员 202</w:t>
      </w:r>
      <w:r>
        <w:rPr>
          <w:rFonts w:hint="eastAsia" w:ascii="Times New Roman" w:hAnsi="Times New Roman" w:eastAsia="黑体"/>
          <w:szCs w:val="21"/>
          <w:lang w:val="en-US" w:eastAsia="zh-CN"/>
        </w:rPr>
        <w:t>6</w:t>
      </w:r>
      <w:r>
        <w:rPr>
          <w:rFonts w:hint="eastAsia" w:ascii="Times New Roman" w:hAnsi="Times New Roman" w:eastAsia="黑体"/>
          <w:szCs w:val="21"/>
        </w:rPr>
        <w:t xml:space="preserve"> 年 </w:t>
      </w:r>
      <w:r>
        <w:rPr>
          <w:rFonts w:hint="eastAsia" w:ascii="Times New Roman" w:hAnsi="Times New Roman" w:eastAsia="黑体"/>
          <w:szCs w:val="21"/>
          <w:lang w:val="en-US" w:eastAsia="zh-CN"/>
        </w:rPr>
        <w:t>1</w:t>
      </w:r>
      <w:r>
        <w:rPr>
          <w:rFonts w:hint="eastAsia" w:ascii="Times New Roman" w:hAnsi="Times New Roman" w:eastAsia="黑体"/>
          <w:szCs w:val="21"/>
        </w:rPr>
        <w:t xml:space="preserve"> 月份（含 202</w:t>
      </w:r>
      <w:r>
        <w:rPr>
          <w:rFonts w:hint="eastAsia" w:ascii="Times New Roman" w:hAnsi="Times New Roman" w:eastAsia="黑体"/>
          <w:szCs w:val="21"/>
          <w:lang w:val="en-US" w:eastAsia="zh-CN"/>
        </w:rPr>
        <w:t>6</w:t>
      </w:r>
      <w:r>
        <w:rPr>
          <w:rFonts w:hint="eastAsia" w:ascii="Times New Roman" w:hAnsi="Times New Roman" w:eastAsia="黑体"/>
          <w:szCs w:val="21"/>
        </w:rPr>
        <w:t xml:space="preserve"> 年 1 月份）以来投标人所属社保机构出具的任意连续三个月社保缴费证明或其他能够证明主要人员参加社保的有效证明材料扫描件。</w:t>
      </w:r>
    </w:p>
    <w:p w14:paraId="703D3B28">
      <w:pPr>
        <w:spacing w:line="360" w:lineRule="auto"/>
        <w:jc w:val="left"/>
        <w:rPr>
          <w:rFonts w:hint="eastAsia" w:ascii="Times New Roman" w:hAnsi="Times New Roman" w:eastAsia="黑体"/>
          <w:szCs w:val="21"/>
        </w:rPr>
      </w:pPr>
      <w:r>
        <w:rPr>
          <w:rFonts w:hint="eastAsia" w:ascii="Times New Roman" w:hAnsi="Times New Roman" w:eastAsia="黑体"/>
          <w:szCs w:val="21"/>
        </w:rPr>
        <w:t>5、近5年，为</w:t>
      </w:r>
      <w:r>
        <w:rPr>
          <w:rFonts w:hint="eastAsia" w:ascii="Times New Roman" w:hAnsi="Times New Roman" w:eastAsia="黑体"/>
          <w:szCs w:val="21"/>
          <w:lang w:eastAsia="zh-CN"/>
        </w:rPr>
        <w:t>2021年</w:t>
      </w:r>
      <w:r>
        <w:rPr>
          <w:rFonts w:hint="eastAsia" w:ascii="Times New Roman" w:hAnsi="Times New Roman" w:eastAsia="黑体"/>
          <w:szCs w:val="21"/>
        </w:rPr>
        <w:t>1月1日至投标截止日期前一日，</w:t>
      </w:r>
      <w:r>
        <w:rPr>
          <w:rFonts w:hint="eastAsia" w:ascii="Times New Roman" w:hAnsi="Times New Roman" w:eastAsia="黑体"/>
          <w:szCs w:val="21"/>
          <w:lang w:eastAsia="zh-CN"/>
        </w:rPr>
        <w:t>以发包人(或委托人)出具的证明材料中载明的项目完成时间为准</w:t>
      </w:r>
      <w:r>
        <w:rPr>
          <w:rFonts w:hint="eastAsia" w:ascii="Times New Roman" w:hAnsi="Times New Roman" w:eastAsia="黑体"/>
          <w:szCs w:val="21"/>
        </w:rPr>
        <w:t>。</w:t>
      </w:r>
    </w:p>
    <w:p w14:paraId="53C255DA">
      <w:pPr>
        <w:spacing w:line="360" w:lineRule="auto"/>
        <w:jc w:val="left"/>
        <w:rPr>
          <w:rFonts w:hint="default" w:ascii="Times New Roman" w:hAnsi="Times New Roman" w:eastAsia="宋体" w:cs="Times New Roman"/>
          <w:szCs w:val="21"/>
          <w:highlight w:val="none"/>
          <w:lang w:val="en-US" w:eastAsia="zh-CN"/>
        </w:rPr>
      </w:pPr>
      <w:r>
        <w:rPr>
          <w:rFonts w:hint="eastAsia" w:ascii="Times New Roman" w:hAnsi="Times New Roman" w:eastAsia="黑体"/>
          <w:szCs w:val="21"/>
        </w:rPr>
        <w:t>6、</w:t>
      </w:r>
      <w:r>
        <w:rPr>
          <w:rFonts w:hint="eastAsia" w:ascii="Times New Roman" w:hAnsi="Times New Roman" w:eastAsia="黑体" w:cs="Times New Roman"/>
          <w:szCs w:val="21"/>
          <w:highlight w:val="none"/>
          <w:lang w:val="en-US" w:eastAsia="zh-CN"/>
        </w:rPr>
        <w:t>高边坡是指：根据《公路路基设计规范》（JTG D30—2015），路基填土边坡高度大于20m的高路堤，土质挖方边坡高度大于20m或岩石挖方边坡高度大于30m的深路堑。</w:t>
      </w:r>
    </w:p>
    <w:p w14:paraId="19A5453F">
      <w:pPr>
        <w:spacing w:line="360" w:lineRule="auto"/>
        <w:jc w:val="left"/>
        <w:rPr>
          <w:rFonts w:hint="eastAsia" w:ascii="Times New Roman" w:hAnsi="Times New Roman" w:eastAsia="黑体"/>
          <w:color w:val="auto"/>
          <w:szCs w:val="21"/>
        </w:rPr>
      </w:pPr>
      <w:r>
        <w:rPr>
          <w:rFonts w:hint="eastAsia" w:ascii="Times New Roman" w:hAnsi="Times New Roman" w:eastAsia="黑体"/>
          <w:szCs w:val="21"/>
          <w:lang w:val="en-US" w:eastAsia="zh-CN"/>
        </w:rPr>
        <w:t>7、</w:t>
      </w:r>
      <w:r>
        <w:rPr>
          <w:rFonts w:hint="eastAsia" w:ascii="Times New Roman" w:hAnsi="Times New Roman" w:eastAsia="黑体"/>
          <w:szCs w:val="21"/>
        </w:rPr>
        <w:t>上述要求与投标文件格式资格审查资料</w:t>
      </w:r>
      <w:r>
        <w:rPr>
          <w:rFonts w:ascii="Times New Roman" w:hAnsi="Times New Roman" w:eastAsia="黑体" w:cs="Times New Roman"/>
          <w:kern w:val="2"/>
          <w:szCs w:val="21"/>
          <w:highlight w:val="none"/>
        </w:rPr>
        <w:t>“拟委任的项目负责人资历表”、“拟委任的技术负责人资历表”</w:t>
      </w:r>
      <w:r>
        <w:rPr>
          <w:rFonts w:hint="eastAsia" w:ascii="Times New Roman" w:hAnsi="Times New Roman" w:eastAsia="黑体"/>
          <w:szCs w:val="21"/>
        </w:rPr>
        <w:t>注的内容不一致的，以上述要求为准</w:t>
      </w:r>
      <w:r>
        <w:rPr>
          <w:rFonts w:hint="eastAsia" w:ascii="Times New Roman" w:hAnsi="Times New Roman" w:eastAsia="黑体"/>
          <w:color w:val="auto"/>
          <w:szCs w:val="21"/>
        </w:rPr>
        <w:t>。</w:t>
      </w:r>
    </w:p>
    <w:p w14:paraId="63DB92D4">
      <w:pPr>
        <w:spacing w:line="360" w:lineRule="auto"/>
        <w:jc w:val="left"/>
        <w:rPr>
          <w:rFonts w:hint="eastAsia" w:ascii="Times New Roman" w:hAnsi="Times New Roman" w:eastAsia="黑体"/>
          <w:color w:val="auto"/>
          <w:szCs w:val="21"/>
        </w:rPr>
      </w:pPr>
      <w:r>
        <w:rPr>
          <w:rFonts w:hint="eastAsia" w:ascii="Times New Roman" w:hAnsi="Times New Roman" w:eastAsia="黑体"/>
          <w:color w:val="auto"/>
          <w:szCs w:val="21"/>
          <w:lang w:val="en-US" w:eastAsia="zh-CN"/>
        </w:rPr>
        <w:t>8</w:t>
      </w:r>
      <w:r>
        <w:rPr>
          <w:rFonts w:hint="eastAsia" w:ascii="Times New Roman" w:hAnsi="Times New Roman" w:eastAsia="黑体"/>
          <w:color w:val="auto"/>
          <w:szCs w:val="21"/>
        </w:rPr>
        <w:t>、投标人必须按照上述要求填报相应的表格，并提供相应证明材料，以证明其符合相应资格审查条件。</w:t>
      </w:r>
    </w:p>
    <w:p w14:paraId="40D657CE">
      <w:pPr>
        <w:spacing w:line="360" w:lineRule="auto"/>
        <w:jc w:val="left"/>
        <w:rPr>
          <w:rFonts w:ascii="Times New Roman" w:hAnsi="Times New Roman" w:eastAsia="黑体"/>
          <w:color w:val="auto"/>
          <w:szCs w:val="21"/>
        </w:rPr>
      </w:pPr>
      <w:r>
        <w:rPr>
          <w:rFonts w:hint="eastAsia" w:ascii="Times New Roman" w:hAnsi="Times New Roman" w:eastAsia="黑体" w:cs="Times New Roman"/>
          <w:i w:val="0"/>
          <w:iCs w:val="0"/>
          <w:caps w:val="0"/>
          <w:color w:val="auto"/>
          <w:spacing w:val="0"/>
          <w:sz w:val="21"/>
          <w:szCs w:val="21"/>
          <w:shd w:val="clear" w:color="auto" w:fill="auto"/>
        </w:rPr>
        <w:t>9、投标人填写的表格内容与证明材料内容不一致时，以证明材料内容为准，投标人填写的表格内容与证明材料内容不一致的，不属于重大偏差</w:t>
      </w:r>
      <w:r>
        <w:rPr>
          <w:rFonts w:hint="eastAsia" w:ascii="Times New Roman" w:hAnsi="Times New Roman" w:eastAsia="黑体" w:cs="Times New Roman"/>
          <w:i w:val="0"/>
          <w:iCs w:val="0"/>
          <w:caps w:val="0"/>
          <w:color w:val="auto"/>
          <w:spacing w:val="0"/>
          <w:sz w:val="21"/>
          <w:szCs w:val="21"/>
          <w:shd w:val="clear" w:color="auto" w:fill="auto"/>
          <w:lang w:eastAsia="zh-CN"/>
        </w:rPr>
        <w:t>。</w:t>
      </w:r>
    </w:p>
    <w:p w14:paraId="2218F60E">
      <w:pPr>
        <w:spacing w:line="360" w:lineRule="auto"/>
        <w:jc w:val="center"/>
        <w:outlineLvl w:val="1"/>
        <w:rPr>
          <w:rFonts w:ascii="Times New Roman" w:hAnsi="Times New Roman"/>
          <w:b/>
          <w:bCs/>
          <w:sz w:val="24"/>
          <w:szCs w:val="24"/>
          <w:highlight w:val="white"/>
        </w:rPr>
      </w:pPr>
      <w:r>
        <w:rPr>
          <w:rFonts w:ascii="Times New Roman" w:hAnsi="Times New Roman"/>
          <w:sz w:val="24"/>
          <w:szCs w:val="24"/>
        </w:rPr>
        <w:br w:type="page"/>
      </w:r>
      <w:bookmarkStart w:id="33" w:name="_Toc10024"/>
      <w:bookmarkStart w:id="34" w:name="_Toc31048"/>
      <w:bookmarkStart w:id="35" w:name="_Toc29463"/>
      <w:r>
        <w:rPr>
          <w:rFonts w:ascii="Times New Roman" w:hAnsi="Times New Roman"/>
          <w:b/>
          <w:bCs/>
          <w:sz w:val="24"/>
          <w:szCs w:val="24"/>
        </w:rPr>
        <w:t>附录4  资格审查条件(信誉要求)</w:t>
      </w:r>
      <w:bookmarkEnd w:id="33"/>
      <w:bookmarkEnd w:id="34"/>
      <w:bookmarkEnd w:id="35"/>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097"/>
      </w:tblGrid>
      <w:tr w14:paraId="0D119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noWrap w:val="0"/>
            <w:vAlign w:val="center"/>
          </w:tcPr>
          <w:p w14:paraId="6E1ADE02">
            <w:pPr>
              <w:spacing w:line="360" w:lineRule="auto"/>
              <w:jc w:val="center"/>
              <w:rPr>
                <w:rFonts w:ascii="Times New Roman" w:hAnsi="Times New Roman"/>
                <w:szCs w:val="21"/>
                <w:highlight w:val="white"/>
              </w:rPr>
            </w:pPr>
            <w:r>
              <w:rPr>
                <w:rFonts w:ascii="Times New Roman" w:hAnsi="Times New Roman"/>
                <w:szCs w:val="21"/>
              </w:rPr>
              <w:t>标段</w:t>
            </w:r>
          </w:p>
        </w:tc>
        <w:tc>
          <w:tcPr>
            <w:tcW w:w="7097" w:type="dxa"/>
            <w:noWrap w:val="0"/>
            <w:vAlign w:val="center"/>
          </w:tcPr>
          <w:p w14:paraId="672152A8">
            <w:pPr>
              <w:spacing w:line="360" w:lineRule="auto"/>
              <w:jc w:val="center"/>
              <w:rPr>
                <w:rFonts w:ascii="Times New Roman" w:hAnsi="Times New Roman"/>
                <w:szCs w:val="21"/>
                <w:highlight w:val="white"/>
              </w:rPr>
            </w:pPr>
            <w:r>
              <w:rPr>
                <w:rFonts w:ascii="Times New Roman" w:hAnsi="Times New Roman"/>
                <w:szCs w:val="21"/>
              </w:rPr>
              <w:t>信誉最低要求</w:t>
            </w:r>
          </w:p>
        </w:tc>
      </w:tr>
      <w:tr w14:paraId="43975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6" w:hRule="atLeast"/>
          <w:jc w:val="center"/>
        </w:trPr>
        <w:tc>
          <w:tcPr>
            <w:tcW w:w="1418" w:type="dxa"/>
            <w:noWrap w:val="0"/>
            <w:vAlign w:val="center"/>
          </w:tcPr>
          <w:p w14:paraId="1CB13550">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none"/>
              </w:rPr>
              <w:t>TWBPJC-1</w:t>
            </w:r>
          </w:p>
        </w:tc>
        <w:tc>
          <w:tcPr>
            <w:tcW w:w="7097" w:type="dxa"/>
            <w:noWrap w:val="0"/>
            <w:vAlign w:val="center"/>
          </w:tcPr>
          <w:p w14:paraId="7A19E40E">
            <w:pPr>
              <w:spacing w:line="360" w:lineRule="auto"/>
              <w:jc w:val="left"/>
              <w:rPr>
                <w:rFonts w:ascii="Times New Roman" w:hAnsi="Times New Roman"/>
                <w:szCs w:val="21"/>
              </w:rPr>
            </w:pPr>
            <w:r>
              <w:rPr>
                <w:rFonts w:ascii="Times New Roman" w:hAnsi="Times New Roman"/>
                <w:szCs w:val="21"/>
              </w:rPr>
              <w:t>1、投标人未被责令停产停业、暂扣或吊销许可证、暂扣或吊销执照；</w:t>
            </w:r>
          </w:p>
          <w:p w14:paraId="03F3DA0A">
            <w:pPr>
              <w:spacing w:line="360" w:lineRule="auto"/>
              <w:jc w:val="left"/>
              <w:rPr>
                <w:rFonts w:ascii="Times New Roman" w:hAnsi="Times New Roman"/>
                <w:szCs w:val="21"/>
              </w:rPr>
            </w:pPr>
            <w:r>
              <w:rPr>
                <w:rFonts w:ascii="Times New Roman" w:hAnsi="Times New Roman"/>
                <w:szCs w:val="21"/>
              </w:rPr>
              <w:t>2、投标人未被进入清算程序，或被宣告破产，或其他丧失履约能力的情形；</w:t>
            </w:r>
          </w:p>
          <w:p w14:paraId="023AF6D9">
            <w:pPr>
              <w:spacing w:line="360" w:lineRule="auto"/>
              <w:jc w:val="left"/>
              <w:rPr>
                <w:rFonts w:ascii="Times New Roman" w:hAnsi="Times New Roman"/>
                <w:szCs w:val="21"/>
              </w:rPr>
            </w:pPr>
            <w:r>
              <w:rPr>
                <w:rFonts w:ascii="Times New Roman" w:hAnsi="Times New Roman"/>
                <w:szCs w:val="21"/>
              </w:rPr>
              <w:t>3、</w:t>
            </w:r>
            <w:r>
              <w:rPr>
                <w:rFonts w:hint="eastAsia" w:ascii="Times New Roman" w:hAnsi="Times New Roman"/>
                <w:szCs w:val="21"/>
              </w:rPr>
              <w:t>投标人没有被</w:t>
            </w:r>
            <w:r>
              <w:rPr>
                <w:rFonts w:hint="eastAsia" w:ascii="Times New Roman" w:hAnsi="Times New Roman"/>
                <w:szCs w:val="21"/>
                <w:lang w:val="en-US" w:eastAsia="zh-CN"/>
              </w:rPr>
              <w:t>省级</w:t>
            </w:r>
            <w:r>
              <w:rPr>
                <w:rFonts w:hint="eastAsia" w:ascii="Times New Roman" w:hAnsi="Times New Roman"/>
                <w:szCs w:val="21"/>
              </w:rPr>
              <w:t>行业主管部门或其他有权作出处罚的部门作出取消在湖北省建设市场投标资格或禁止进入湖北建设市场的处罚且处于有效期内；</w:t>
            </w:r>
          </w:p>
          <w:p w14:paraId="6CEACB75">
            <w:pPr>
              <w:spacing w:line="360" w:lineRule="auto"/>
              <w:jc w:val="left"/>
              <w:rPr>
                <w:rFonts w:ascii="Times New Roman" w:hAnsi="Times New Roman"/>
                <w:szCs w:val="21"/>
              </w:rPr>
            </w:pPr>
            <w:r>
              <w:rPr>
                <w:rFonts w:ascii="Times New Roman" w:hAnsi="Times New Roman"/>
                <w:szCs w:val="21"/>
              </w:rPr>
              <w:t>4、投标人不得存在下列不良状况或不良信用记录:</w:t>
            </w:r>
          </w:p>
          <w:p w14:paraId="15753A29">
            <w:pPr>
              <w:spacing w:line="360" w:lineRule="auto"/>
              <w:jc w:val="left"/>
              <w:rPr>
                <w:rFonts w:ascii="Times New Roman" w:hAnsi="Times New Roman"/>
                <w:szCs w:val="21"/>
              </w:rPr>
            </w:pPr>
            <w:r>
              <w:rPr>
                <w:rFonts w:ascii="Times New Roman" w:hAnsi="Times New Roman"/>
                <w:szCs w:val="21"/>
              </w:rPr>
              <w:t>(1)在国家企业信用信息公示系统(http://www.gsxt.gov.cn/)中被列入严重违法失信企业名单的；</w:t>
            </w:r>
          </w:p>
          <w:p w14:paraId="39C5E04B">
            <w:pPr>
              <w:spacing w:line="360" w:lineRule="auto"/>
              <w:jc w:val="left"/>
              <w:rPr>
                <w:rFonts w:ascii="Times New Roman" w:hAnsi="Times New Roman"/>
                <w:szCs w:val="21"/>
              </w:rPr>
            </w:pPr>
            <w:r>
              <w:rPr>
                <w:rFonts w:ascii="Times New Roman" w:hAnsi="Times New Roman"/>
                <w:szCs w:val="21"/>
              </w:rPr>
              <w:t>(2)在“中国执行信息公开网”（http://zxgk.court.gov.cn/）中被列入失信被执行人名单；</w:t>
            </w:r>
          </w:p>
          <w:p w14:paraId="0B429FC4">
            <w:pPr>
              <w:spacing w:line="360" w:lineRule="auto"/>
              <w:jc w:val="left"/>
              <w:rPr>
                <w:rFonts w:ascii="Times New Roman" w:hAnsi="Times New Roman"/>
                <w:szCs w:val="21"/>
              </w:rPr>
            </w:pPr>
            <w:r>
              <w:rPr>
                <w:rFonts w:ascii="Times New Roman" w:hAnsi="Times New Roman"/>
                <w:szCs w:val="21"/>
              </w:rPr>
              <w:t>(3)</w:t>
            </w:r>
            <w:r>
              <w:rPr>
                <w:rFonts w:hint="eastAsia" w:ascii="Times New Roman" w:hAnsi="Times New Roman"/>
                <w:szCs w:val="21"/>
                <w:lang w:eastAsia="zh-CN"/>
              </w:rPr>
              <w:t>在近三年内投标人或其法定代表人、拟委任的项目负责人被人民法院判决为行贿罪的</w:t>
            </w:r>
            <w:r>
              <w:rPr>
                <w:rFonts w:ascii="Times New Roman" w:hAnsi="Times New Roman"/>
                <w:szCs w:val="21"/>
              </w:rPr>
              <w:t>；</w:t>
            </w:r>
          </w:p>
          <w:p w14:paraId="72F0459B">
            <w:pPr>
              <w:spacing w:line="360" w:lineRule="auto"/>
              <w:jc w:val="left"/>
              <w:rPr>
                <w:rFonts w:ascii="Times New Roman" w:hAnsi="Times New Roman"/>
                <w:szCs w:val="21"/>
                <w:highlight w:val="white"/>
              </w:rPr>
            </w:pPr>
            <w:r>
              <w:rPr>
                <w:rFonts w:ascii="Times New Roman" w:hAnsi="Times New Roman"/>
                <w:szCs w:val="21"/>
              </w:rPr>
              <w:t>(4)其他在“信用中国”网站(http://www.creditchina.gov.cn/)中被列为严重失信主体名单，且按联合惩戒要求禁止参与招投标的。</w:t>
            </w:r>
          </w:p>
        </w:tc>
      </w:tr>
    </w:tbl>
    <w:p w14:paraId="06288EDB">
      <w:pPr>
        <w:spacing w:line="360" w:lineRule="auto"/>
        <w:jc w:val="left"/>
        <w:rPr>
          <w:rFonts w:ascii="Times New Roman" w:hAnsi="Times New Roman" w:eastAsia="黑体"/>
          <w:szCs w:val="21"/>
        </w:rPr>
      </w:pPr>
      <w:r>
        <w:rPr>
          <w:rFonts w:ascii="Times New Roman" w:hAnsi="Times New Roman" w:eastAsia="黑体"/>
          <w:szCs w:val="21"/>
        </w:rPr>
        <w:t>注：</w:t>
      </w:r>
    </w:p>
    <w:p w14:paraId="6F54DCAF">
      <w:pPr>
        <w:spacing w:line="360" w:lineRule="auto"/>
        <w:jc w:val="left"/>
        <w:rPr>
          <w:rFonts w:ascii="Times New Roman" w:hAnsi="Times New Roman" w:eastAsia="黑体"/>
          <w:szCs w:val="21"/>
        </w:rPr>
      </w:pPr>
      <w:r>
        <w:rPr>
          <w:rFonts w:ascii="Times New Roman" w:hAnsi="Times New Roman" w:eastAsia="黑体"/>
          <w:szCs w:val="21"/>
        </w:rPr>
        <w:t>1、本表中“近三年”是指</w:t>
      </w:r>
      <w:r>
        <w:rPr>
          <w:rFonts w:hint="eastAsia" w:ascii="Times New Roman" w:hAnsi="Times New Roman" w:eastAsia="黑体"/>
          <w:szCs w:val="21"/>
          <w:highlight w:val="none"/>
          <w:lang w:eastAsia="zh-CN"/>
        </w:rPr>
        <w:t>2023年</w:t>
      </w:r>
      <w:r>
        <w:rPr>
          <w:rFonts w:ascii="Times New Roman" w:hAnsi="Times New Roman" w:eastAsia="黑体"/>
          <w:szCs w:val="21"/>
          <w:highlight w:val="none"/>
        </w:rPr>
        <w:t>1月1日</w:t>
      </w:r>
      <w:r>
        <w:rPr>
          <w:rFonts w:ascii="Times New Roman" w:hAnsi="Times New Roman" w:eastAsia="黑体"/>
          <w:szCs w:val="21"/>
        </w:rPr>
        <w:t>至投标截止日前一日，以有效的法律文书生效的时间为准，同一案件有多份法律文书的以时间在后的为准。</w:t>
      </w:r>
    </w:p>
    <w:p w14:paraId="5F9C2328">
      <w:pPr>
        <w:spacing w:line="360" w:lineRule="auto"/>
        <w:jc w:val="left"/>
        <w:rPr>
          <w:rFonts w:ascii="Times New Roman" w:hAnsi="Times New Roman" w:eastAsia="黑体"/>
          <w:szCs w:val="21"/>
        </w:rPr>
      </w:pPr>
      <w:r>
        <w:rPr>
          <w:rFonts w:ascii="Times New Roman" w:hAnsi="Times New Roman" w:eastAsia="黑体"/>
          <w:szCs w:val="21"/>
        </w:rPr>
        <w:t>2、</w:t>
      </w:r>
      <w:r>
        <w:rPr>
          <w:rFonts w:hint="eastAsia" w:ascii="Times New Roman" w:hAnsi="Times New Roman" w:eastAsia="黑体"/>
          <w:szCs w:val="21"/>
        </w:rPr>
        <w:t>投标人应在投标文件格式资格审查资料“投标人的信誉情况表”按给定的内容填写并提供《信誉情况承诺函》，按上述要求提供了《信誉情况承诺函》的，视为满足信誉最低要求。</w:t>
      </w:r>
    </w:p>
    <w:p w14:paraId="608885A0">
      <w:pPr>
        <w:spacing w:line="360" w:lineRule="auto"/>
        <w:jc w:val="center"/>
        <w:outlineLvl w:val="1"/>
        <w:rPr>
          <w:rFonts w:ascii="Times New Roman" w:hAnsi="Times New Roman"/>
          <w:b/>
          <w:bCs/>
          <w:sz w:val="24"/>
          <w:szCs w:val="24"/>
          <w:highlight w:val="white"/>
        </w:rPr>
      </w:pPr>
      <w:r>
        <w:rPr>
          <w:rFonts w:ascii="Times New Roman" w:hAnsi="Times New Roman"/>
          <w:sz w:val="24"/>
          <w:szCs w:val="24"/>
        </w:rPr>
        <w:br w:type="page"/>
      </w:r>
      <w:bookmarkStart w:id="36" w:name="_Toc16228"/>
      <w:bookmarkStart w:id="37" w:name="_Toc25624"/>
      <w:bookmarkStart w:id="38" w:name="_Toc10734"/>
      <w:r>
        <w:rPr>
          <w:rFonts w:ascii="Times New Roman" w:hAnsi="Times New Roman"/>
          <w:b/>
          <w:bCs/>
          <w:sz w:val="24"/>
          <w:szCs w:val="24"/>
        </w:rPr>
        <w:t>附录</w:t>
      </w:r>
      <w:r>
        <w:rPr>
          <w:rFonts w:hint="eastAsia" w:ascii="Times New Roman" w:hAnsi="Times New Roman"/>
          <w:b/>
          <w:bCs/>
          <w:sz w:val="24"/>
          <w:szCs w:val="24"/>
          <w:lang w:val="en-US" w:eastAsia="zh-CN"/>
        </w:rPr>
        <w:t>5</w:t>
      </w:r>
      <w:r>
        <w:rPr>
          <w:rFonts w:ascii="Times New Roman" w:hAnsi="Times New Roman"/>
          <w:b/>
          <w:bCs/>
          <w:sz w:val="24"/>
          <w:szCs w:val="24"/>
        </w:rPr>
        <w:t xml:space="preserve">  重大偏差一览表</w:t>
      </w:r>
      <w:bookmarkEnd w:id="36"/>
      <w:bookmarkEnd w:id="37"/>
    </w:p>
    <w:tbl>
      <w:tblPr>
        <w:tblStyle w:val="24"/>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509"/>
        <w:gridCol w:w="1509"/>
        <w:gridCol w:w="4986"/>
      </w:tblGrid>
      <w:tr w14:paraId="17EFA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325D569B">
            <w:pPr>
              <w:spacing w:line="360" w:lineRule="auto"/>
              <w:jc w:val="center"/>
              <w:rPr>
                <w:rFonts w:ascii="Times New Roman" w:hAnsi="Times New Roman"/>
                <w:b/>
                <w:bCs/>
                <w:szCs w:val="21"/>
                <w:highlight w:val="white"/>
              </w:rPr>
            </w:pPr>
            <w:r>
              <w:rPr>
                <w:rFonts w:ascii="Times New Roman" w:hAnsi="Times New Roman"/>
                <w:b/>
                <w:bCs/>
                <w:szCs w:val="21"/>
                <w:highlight w:val="white"/>
              </w:rPr>
              <w:t>序号</w:t>
            </w:r>
          </w:p>
        </w:tc>
        <w:tc>
          <w:tcPr>
            <w:tcW w:w="1509" w:type="dxa"/>
            <w:noWrap w:val="0"/>
            <w:vAlign w:val="center"/>
          </w:tcPr>
          <w:p w14:paraId="24552D08">
            <w:pPr>
              <w:spacing w:line="360" w:lineRule="auto"/>
              <w:jc w:val="center"/>
              <w:rPr>
                <w:rFonts w:ascii="Times New Roman" w:hAnsi="Times New Roman"/>
                <w:b/>
                <w:bCs/>
                <w:szCs w:val="21"/>
                <w:highlight w:val="white"/>
              </w:rPr>
            </w:pPr>
            <w:r>
              <w:rPr>
                <w:rFonts w:ascii="Times New Roman" w:hAnsi="Times New Roman"/>
                <w:b/>
                <w:kern w:val="0"/>
                <w:lang w:bidi="ar"/>
              </w:rPr>
              <w:t>评审标准</w:t>
            </w:r>
          </w:p>
        </w:tc>
        <w:tc>
          <w:tcPr>
            <w:tcW w:w="1509" w:type="dxa"/>
            <w:noWrap w:val="0"/>
            <w:vAlign w:val="center"/>
          </w:tcPr>
          <w:p w14:paraId="40C6FA79">
            <w:pPr>
              <w:spacing w:line="360" w:lineRule="auto"/>
              <w:jc w:val="center"/>
              <w:rPr>
                <w:rFonts w:ascii="Times New Roman" w:hAnsi="Times New Roman"/>
                <w:b/>
                <w:bCs/>
                <w:szCs w:val="21"/>
                <w:highlight w:val="white"/>
              </w:rPr>
            </w:pPr>
            <w:r>
              <w:rPr>
                <w:rFonts w:ascii="Times New Roman" w:hAnsi="Times New Roman"/>
                <w:b/>
                <w:bCs/>
                <w:szCs w:val="21"/>
                <w:highlight w:val="white"/>
              </w:rPr>
              <w:t>评审因素</w:t>
            </w:r>
          </w:p>
        </w:tc>
        <w:tc>
          <w:tcPr>
            <w:tcW w:w="4986" w:type="dxa"/>
            <w:noWrap w:val="0"/>
            <w:vAlign w:val="center"/>
          </w:tcPr>
          <w:p w14:paraId="6FF49E18">
            <w:pPr>
              <w:spacing w:line="360" w:lineRule="auto"/>
              <w:jc w:val="center"/>
              <w:rPr>
                <w:rFonts w:ascii="Times New Roman" w:hAnsi="Times New Roman"/>
                <w:b/>
                <w:bCs/>
                <w:szCs w:val="21"/>
                <w:highlight w:val="white"/>
              </w:rPr>
            </w:pPr>
            <w:r>
              <w:rPr>
                <w:rFonts w:ascii="Times New Roman" w:hAnsi="Times New Roman"/>
                <w:b/>
                <w:bCs/>
                <w:szCs w:val="21"/>
              </w:rPr>
              <w:t>重大偏差认定标准</w:t>
            </w:r>
          </w:p>
        </w:tc>
      </w:tr>
      <w:tr w14:paraId="73917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26" w:type="dxa"/>
            <w:noWrap w:val="0"/>
            <w:vAlign w:val="center"/>
          </w:tcPr>
          <w:p w14:paraId="23ED69B8">
            <w:pPr>
              <w:spacing w:line="360" w:lineRule="auto"/>
              <w:jc w:val="center"/>
              <w:rPr>
                <w:rFonts w:hint="default" w:ascii="Times New Roman" w:hAnsi="Times New Roman" w:eastAsia="宋体"/>
                <w:szCs w:val="21"/>
                <w:highlight w:val="white"/>
                <w:lang w:val="en-US" w:eastAsia="zh-CN"/>
              </w:rPr>
            </w:pPr>
            <w:r>
              <w:rPr>
                <w:rFonts w:hint="eastAsia" w:ascii="Times New Roman" w:hAnsi="Times New Roman"/>
                <w:szCs w:val="21"/>
                <w:highlight w:val="white"/>
                <w:lang w:val="en-US" w:eastAsia="zh-CN"/>
              </w:rPr>
              <w:t>1</w:t>
            </w:r>
          </w:p>
        </w:tc>
        <w:tc>
          <w:tcPr>
            <w:tcW w:w="1509" w:type="dxa"/>
            <w:vMerge w:val="continue"/>
            <w:noWrap w:val="0"/>
            <w:vAlign w:val="center"/>
          </w:tcPr>
          <w:p w14:paraId="3E99E20E">
            <w:pPr>
              <w:spacing w:line="360" w:lineRule="auto"/>
              <w:jc w:val="left"/>
              <w:rPr>
                <w:rFonts w:ascii="Times New Roman" w:hAnsi="Times New Roman"/>
                <w:szCs w:val="21"/>
                <w:highlight w:val="white"/>
              </w:rPr>
            </w:pPr>
          </w:p>
        </w:tc>
        <w:tc>
          <w:tcPr>
            <w:tcW w:w="1509" w:type="dxa"/>
            <w:noWrap w:val="0"/>
            <w:vAlign w:val="center"/>
          </w:tcPr>
          <w:p w14:paraId="2B852673">
            <w:pPr>
              <w:spacing w:line="360" w:lineRule="auto"/>
              <w:jc w:val="left"/>
              <w:rPr>
                <w:rFonts w:ascii="Times New Roman" w:hAnsi="Times New Roman"/>
                <w:szCs w:val="21"/>
                <w:highlight w:val="white"/>
              </w:rPr>
            </w:pPr>
            <w:r>
              <w:rPr>
                <w:rFonts w:ascii="Times New Roman" w:hAnsi="Times New Roman"/>
                <w:szCs w:val="21"/>
                <w:highlight w:val="white"/>
              </w:rPr>
              <w:t>投标文件</w:t>
            </w:r>
          </w:p>
        </w:tc>
        <w:tc>
          <w:tcPr>
            <w:tcW w:w="4986" w:type="dxa"/>
            <w:noWrap w:val="0"/>
            <w:vAlign w:val="center"/>
          </w:tcPr>
          <w:p w14:paraId="0C5BBC64">
            <w:pPr>
              <w:spacing w:line="360" w:lineRule="auto"/>
              <w:rPr>
                <w:rFonts w:hint="eastAsia" w:ascii="Times New Roman" w:hAnsi="Times New Roman" w:eastAsia="宋体"/>
                <w:szCs w:val="21"/>
                <w:highlight w:val="white"/>
                <w:lang w:eastAsia="zh-CN"/>
              </w:rPr>
            </w:pPr>
            <w:r>
              <w:rPr>
                <w:rFonts w:hint="eastAsia" w:ascii="Times New Roman" w:hAnsi="Times New Roman"/>
                <w:szCs w:val="21"/>
                <w:lang w:eastAsia="zh-CN"/>
              </w:rPr>
              <w:t>在评标过程中，投标文件不能正常打开</w:t>
            </w:r>
          </w:p>
        </w:tc>
      </w:tr>
      <w:tr w14:paraId="160F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00F742BE">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white"/>
                <w:lang w:val="en-US" w:eastAsia="zh-CN"/>
              </w:rPr>
              <w:t>2</w:t>
            </w:r>
          </w:p>
        </w:tc>
        <w:tc>
          <w:tcPr>
            <w:tcW w:w="1509" w:type="dxa"/>
            <w:vMerge w:val="continue"/>
            <w:noWrap w:val="0"/>
            <w:vAlign w:val="center"/>
          </w:tcPr>
          <w:p w14:paraId="29762AA5">
            <w:pPr>
              <w:spacing w:line="360" w:lineRule="auto"/>
              <w:jc w:val="left"/>
              <w:rPr>
                <w:rFonts w:ascii="Times New Roman" w:hAnsi="Times New Roman"/>
                <w:szCs w:val="21"/>
                <w:highlight w:val="white"/>
              </w:rPr>
            </w:pPr>
          </w:p>
        </w:tc>
        <w:tc>
          <w:tcPr>
            <w:tcW w:w="1509" w:type="dxa"/>
            <w:noWrap w:val="0"/>
            <w:vAlign w:val="center"/>
          </w:tcPr>
          <w:p w14:paraId="14EE9FAA">
            <w:pPr>
              <w:spacing w:line="360" w:lineRule="auto"/>
              <w:jc w:val="left"/>
              <w:rPr>
                <w:rFonts w:ascii="Times New Roman" w:hAnsi="Times New Roman"/>
                <w:szCs w:val="21"/>
                <w:highlight w:val="white"/>
              </w:rPr>
            </w:pPr>
            <w:r>
              <w:rPr>
                <w:rFonts w:ascii="Times New Roman" w:hAnsi="Times New Roman"/>
                <w:szCs w:val="21"/>
                <w:highlight w:val="white"/>
              </w:rPr>
              <w:t>投标人名称</w:t>
            </w:r>
          </w:p>
        </w:tc>
        <w:tc>
          <w:tcPr>
            <w:tcW w:w="4986" w:type="dxa"/>
            <w:noWrap w:val="0"/>
            <w:vAlign w:val="center"/>
          </w:tcPr>
          <w:p w14:paraId="088B966D">
            <w:pPr>
              <w:widowControl/>
              <w:spacing w:line="360" w:lineRule="auto"/>
              <w:jc w:val="left"/>
              <w:textAlignment w:val="auto"/>
              <w:rPr>
                <w:rFonts w:hint="eastAsia" w:ascii="Times New Roman" w:hAnsi="Times New Roman"/>
                <w:b/>
                <w:bCs/>
                <w:szCs w:val="21"/>
                <w:highlight w:val="none"/>
              </w:rPr>
            </w:pPr>
            <w:r>
              <w:rPr>
                <w:rFonts w:hint="eastAsia" w:ascii="Times New Roman" w:hAnsi="Times New Roman"/>
                <w:b/>
                <w:bCs/>
                <w:szCs w:val="21"/>
                <w:highlight w:val="none"/>
              </w:rPr>
              <w:t>投标人不满足以下情形均属于重大偏差：</w:t>
            </w:r>
          </w:p>
          <w:p w14:paraId="21DFF187">
            <w:pPr>
              <w:widowControl/>
              <w:spacing w:line="360" w:lineRule="auto"/>
              <w:jc w:val="left"/>
              <w:rPr>
                <w:rFonts w:hint="eastAsia" w:ascii="Times New Roman" w:hAnsi="Times New Roman" w:eastAsia="宋体" w:cs="Times New Roman"/>
                <w:szCs w:val="21"/>
                <w:highlight w:val="none"/>
                <w:lang w:eastAsia="zh-CN"/>
              </w:rPr>
            </w:pPr>
            <w:r>
              <w:rPr>
                <w:rFonts w:hint="eastAsia" w:ascii="Times New Roman" w:hAnsi="Times New Roman"/>
                <w:b/>
                <w:bCs/>
                <w:szCs w:val="21"/>
                <w:highlight w:val="none"/>
              </w:rPr>
              <w:t>投标文件封面的投标人名称、投标函（不含投标函附录）中投标人名称、营业执照（或事业单位法人证书）、资质证书投标人名称须一致，不一致时需提供相关部门的合法批件。</w:t>
            </w:r>
          </w:p>
        </w:tc>
      </w:tr>
      <w:tr w14:paraId="3605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435EB385">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white"/>
                <w:lang w:val="en-US" w:eastAsia="zh-CN"/>
              </w:rPr>
              <w:t>3</w:t>
            </w:r>
          </w:p>
        </w:tc>
        <w:tc>
          <w:tcPr>
            <w:tcW w:w="1509" w:type="dxa"/>
            <w:vMerge w:val="continue"/>
            <w:noWrap w:val="0"/>
            <w:vAlign w:val="center"/>
          </w:tcPr>
          <w:p w14:paraId="07FD2456">
            <w:pPr>
              <w:spacing w:line="360" w:lineRule="auto"/>
              <w:jc w:val="left"/>
              <w:rPr>
                <w:rFonts w:ascii="Times New Roman" w:hAnsi="Times New Roman"/>
                <w:szCs w:val="21"/>
                <w:highlight w:val="white"/>
              </w:rPr>
            </w:pPr>
          </w:p>
        </w:tc>
        <w:tc>
          <w:tcPr>
            <w:tcW w:w="1509" w:type="dxa"/>
            <w:noWrap w:val="0"/>
            <w:vAlign w:val="center"/>
          </w:tcPr>
          <w:p w14:paraId="155EBF0A">
            <w:pPr>
              <w:spacing w:line="360" w:lineRule="auto"/>
              <w:jc w:val="left"/>
              <w:rPr>
                <w:rFonts w:ascii="Times New Roman" w:hAnsi="Times New Roman"/>
                <w:szCs w:val="21"/>
                <w:highlight w:val="white"/>
              </w:rPr>
            </w:pPr>
            <w:r>
              <w:rPr>
                <w:rFonts w:ascii="Times New Roman" w:hAnsi="Times New Roman"/>
                <w:szCs w:val="21"/>
                <w:highlight w:val="white"/>
              </w:rPr>
              <w:t>投标文件的签署</w:t>
            </w:r>
          </w:p>
        </w:tc>
        <w:tc>
          <w:tcPr>
            <w:tcW w:w="4986" w:type="dxa"/>
            <w:noWrap w:val="0"/>
            <w:vAlign w:val="center"/>
          </w:tcPr>
          <w:p w14:paraId="6DE4F90F">
            <w:pPr>
              <w:spacing w:line="360" w:lineRule="auto"/>
              <w:rPr>
                <w:rFonts w:ascii="Times New Roman" w:hAnsi="Times New Roman"/>
                <w:b/>
                <w:bCs/>
                <w:szCs w:val="21"/>
              </w:rPr>
            </w:pPr>
            <w:r>
              <w:rPr>
                <w:rFonts w:ascii="Times New Roman" w:hAnsi="Times New Roman"/>
                <w:b/>
                <w:bCs/>
                <w:szCs w:val="21"/>
              </w:rPr>
              <w:t>投标人存在以下任一情形均属于重大偏差：</w:t>
            </w:r>
          </w:p>
          <w:p w14:paraId="1C5C4666">
            <w:pPr>
              <w:spacing w:line="360" w:lineRule="auto"/>
              <w:rPr>
                <w:rFonts w:ascii="Times New Roman" w:hAnsi="Times New Roman"/>
                <w:szCs w:val="21"/>
              </w:rPr>
            </w:pPr>
            <w:r>
              <w:rPr>
                <w:rFonts w:ascii="Times New Roman" w:hAnsi="Times New Roman"/>
                <w:szCs w:val="21"/>
              </w:rPr>
              <w:t>（1）投标文件封面未加盖单位章；</w:t>
            </w:r>
          </w:p>
          <w:p w14:paraId="29F9D8F2">
            <w:pPr>
              <w:spacing w:line="360" w:lineRule="auto"/>
              <w:rPr>
                <w:rFonts w:ascii="Times New Roman" w:hAnsi="Times New Roman"/>
                <w:szCs w:val="21"/>
              </w:rPr>
            </w:pPr>
            <w:r>
              <w:rPr>
                <w:rFonts w:ascii="Times New Roman" w:hAnsi="Times New Roman"/>
                <w:szCs w:val="21"/>
              </w:rPr>
              <w:t>（2）投标函未加盖单位章；</w:t>
            </w:r>
          </w:p>
          <w:p w14:paraId="647F5298">
            <w:pPr>
              <w:spacing w:line="360" w:lineRule="auto"/>
              <w:rPr>
                <w:rFonts w:ascii="Times New Roman" w:hAnsi="Times New Roman"/>
                <w:szCs w:val="21"/>
              </w:rPr>
            </w:pPr>
            <w:r>
              <w:rPr>
                <w:rFonts w:ascii="Times New Roman" w:hAnsi="Times New Roman"/>
                <w:szCs w:val="21"/>
              </w:rPr>
              <w:t>（3）投标函未加盖法定代表人的个人章或签名章。</w:t>
            </w:r>
            <w:r>
              <w:rPr>
                <w:rFonts w:hint="eastAsia" w:ascii="Times New Roman" w:hAnsi="Times New Roman"/>
                <w:szCs w:val="21"/>
              </w:rPr>
              <w:t>注：投标函附录可不签字盖章。</w:t>
            </w:r>
          </w:p>
        </w:tc>
      </w:tr>
      <w:tr w14:paraId="7589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622A745D">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white"/>
                <w:lang w:val="en-US" w:eastAsia="zh-CN"/>
              </w:rPr>
              <w:t>4</w:t>
            </w:r>
          </w:p>
        </w:tc>
        <w:tc>
          <w:tcPr>
            <w:tcW w:w="1509" w:type="dxa"/>
            <w:vMerge w:val="continue"/>
            <w:noWrap w:val="0"/>
            <w:vAlign w:val="center"/>
          </w:tcPr>
          <w:p w14:paraId="19866180">
            <w:pPr>
              <w:spacing w:line="360" w:lineRule="auto"/>
              <w:jc w:val="left"/>
              <w:rPr>
                <w:rFonts w:ascii="Times New Roman" w:hAnsi="Times New Roman"/>
                <w:szCs w:val="21"/>
                <w:highlight w:val="white"/>
              </w:rPr>
            </w:pPr>
          </w:p>
        </w:tc>
        <w:tc>
          <w:tcPr>
            <w:tcW w:w="1509" w:type="dxa"/>
            <w:noWrap w:val="0"/>
            <w:vAlign w:val="center"/>
          </w:tcPr>
          <w:p w14:paraId="243FB82E">
            <w:pPr>
              <w:spacing w:line="360" w:lineRule="auto"/>
              <w:jc w:val="left"/>
              <w:rPr>
                <w:rFonts w:hint="eastAsia" w:ascii="Times New Roman" w:hAnsi="Times New Roman" w:eastAsia="宋体"/>
                <w:szCs w:val="21"/>
                <w:highlight w:val="white"/>
                <w:lang w:eastAsia="zh-CN"/>
              </w:rPr>
            </w:pPr>
            <w:r>
              <w:rPr>
                <w:rFonts w:ascii="Times New Roman" w:hAnsi="Times New Roman"/>
                <w:szCs w:val="21"/>
                <w:highlight w:val="white"/>
              </w:rPr>
              <w:t>投标文件的</w:t>
            </w:r>
            <w:r>
              <w:rPr>
                <w:rFonts w:hint="eastAsia" w:ascii="Times New Roman" w:hAnsi="Times New Roman"/>
                <w:szCs w:val="21"/>
                <w:highlight w:val="white"/>
                <w:lang w:val="en-US" w:eastAsia="zh-CN"/>
              </w:rPr>
              <w:t>组成部分</w:t>
            </w:r>
          </w:p>
        </w:tc>
        <w:tc>
          <w:tcPr>
            <w:tcW w:w="4986" w:type="dxa"/>
            <w:noWrap w:val="0"/>
            <w:vAlign w:val="center"/>
          </w:tcPr>
          <w:p w14:paraId="4C551204">
            <w:pPr>
              <w:spacing w:line="360" w:lineRule="auto"/>
              <w:rPr>
                <w:rFonts w:hint="eastAsia" w:ascii="Times New Roman" w:hAnsi="Times New Roman"/>
                <w:szCs w:val="21"/>
              </w:rPr>
            </w:pPr>
            <w:r>
              <w:rPr>
                <w:rFonts w:hint="eastAsia" w:ascii="Times New Roman" w:hAnsi="Times New Roman"/>
                <w:szCs w:val="21"/>
              </w:rPr>
              <w:t>投标文件缺少以下任一项内容属于重大偏差：投标函（不含投标函附录）、法定代表人身份证明、投标报价清单、投标人基本情况表、近年完成的类似项目情况表、投标人信誉声明（信誉情况承诺函）、拟委任的项目负责人简历表、拟委任的技术负责人简历表、技术建议书。</w:t>
            </w:r>
          </w:p>
          <w:p w14:paraId="5B619696">
            <w:pPr>
              <w:spacing w:line="360" w:lineRule="auto"/>
              <w:rPr>
                <w:rFonts w:ascii="Times New Roman" w:hAnsi="Times New Roman"/>
                <w:szCs w:val="21"/>
                <w:highlight w:val="white"/>
              </w:rPr>
            </w:pPr>
            <w:r>
              <w:rPr>
                <w:rFonts w:hint="eastAsia" w:ascii="Times New Roman" w:hAnsi="Times New Roman"/>
                <w:szCs w:val="21"/>
              </w:rPr>
              <w:t>注：①招标文件要求相关表格附相应证明材料的，投标人未按要求提供证明材料属于重大偏差；②投标人填写的表格内容与证明材料内容不一致时，以证明材料内容为准，</w:t>
            </w:r>
            <w:r>
              <w:rPr>
                <w:rFonts w:hint="eastAsia" w:ascii="Times New Roman" w:hAnsi="Times New Roman"/>
                <w:spacing w:val="0"/>
                <w:sz w:val="21"/>
                <w:szCs w:val="21"/>
              </w:rPr>
              <w:t>上述不一致的情形不属于重大偏差。</w:t>
            </w:r>
          </w:p>
        </w:tc>
      </w:tr>
      <w:tr w14:paraId="3519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28261D3F">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white"/>
                <w:lang w:val="en-US" w:eastAsia="zh-CN"/>
              </w:rPr>
              <w:t>5</w:t>
            </w:r>
          </w:p>
        </w:tc>
        <w:tc>
          <w:tcPr>
            <w:tcW w:w="1509" w:type="dxa"/>
            <w:vMerge w:val="continue"/>
            <w:noWrap w:val="0"/>
            <w:vAlign w:val="center"/>
          </w:tcPr>
          <w:p w14:paraId="6D1164AF">
            <w:pPr>
              <w:spacing w:line="360" w:lineRule="auto"/>
              <w:jc w:val="left"/>
              <w:rPr>
                <w:rFonts w:ascii="Times New Roman" w:hAnsi="Times New Roman"/>
                <w:szCs w:val="21"/>
              </w:rPr>
            </w:pPr>
          </w:p>
        </w:tc>
        <w:tc>
          <w:tcPr>
            <w:tcW w:w="1509" w:type="dxa"/>
            <w:noWrap w:val="0"/>
            <w:vAlign w:val="center"/>
          </w:tcPr>
          <w:p w14:paraId="4B167851">
            <w:pPr>
              <w:spacing w:line="360" w:lineRule="auto"/>
              <w:jc w:val="left"/>
              <w:rPr>
                <w:rFonts w:hint="default" w:ascii="Times New Roman" w:hAnsi="Times New Roman" w:eastAsia="宋体"/>
                <w:szCs w:val="21"/>
                <w:highlight w:val="white"/>
                <w:lang w:val="en-US" w:eastAsia="zh-CN"/>
              </w:rPr>
            </w:pPr>
            <w:r>
              <w:rPr>
                <w:rFonts w:ascii="Times New Roman" w:hAnsi="Times New Roman"/>
                <w:szCs w:val="21"/>
              </w:rPr>
              <w:t>联合体投标</w:t>
            </w:r>
            <w:r>
              <w:rPr>
                <w:rFonts w:hint="eastAsia" w:ascii="Times New Roman" w:hAnsi="Times New Roman"/>
                <w:szCs w:val="21"/>
                <w:lang w:eastAsia="zh-CN"/>
              </w:rPr>
              <w:t>（</w:t>
            </w:r>
            <w:r>
              <w:rPr>
                <w:rFonts w:hint="eastAsia" w:ascii="Times New Roman" w:hAnsi="Times New Roman"/>
                <w:szCs w:val="21"/>
                <w:lang w:val="en-US" w:eastAsia="zh-CN"/>
              </w:rPr>
              <w:t>如有）</w:t>
            </w:r>
          </w:p>
        </w:tc>
        <w:tc>
          <w:tcPr>
            <w:tcW w:w="4986" w:type="dxa"/>
            <w:noWrap w:val="0"/>
            <w:vAlign w:val="center"/>
          </w:tcPr>
          <w:p w14:paraId="1AD0AA41">
            <w:pPr>
              <w:spacing w:line="360" w:lineRule="auto"/>
              <w:rPr>
                <w:rFonts w:ascii="Times New Roman" w:hAnsi="Times New Roman"/>
                <w:szCs w:val="21"/>
                <w:highlight w:val="white"/>
              </w:rPr>
            </w:pPr>
            <w:r>
              <w:rPr>
                <w:rFonts w:ascii="Times New Roman" w:hAnsi="Times New Roman"/>
                <w:szCs w:val="21"/>
              </w:rPr>
              <w:t>投标人以联合体形式投标</w:t>
            </w:r>
          </w:p>
        </w:tc>
      </w:tr>
      <w:tr w14:paraId="6FA5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4E291ABA">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white"/>
                <w:lang w:val="en-US" w:eastAsia="zh-CN"/>
              </w:rPr>
              <w:t>6</w:t>
            </w:r>
          </w:p>
        </w:tc>
        <w:tc>
          <w:tcPr>
            <w:tcW w:w="1509" w:type="dxa"/>
            <w:vMerge w:val="continue"/>
            <w:noWrap w:val="0"/>
            <w:vAlign w:val="center"/>
          </w:tcPr>
          <w:p w14:paraId="47BB702E">
            <w:pPr>
              <w:spacing w:line="360" w:lineRule="auto"/>
              <w:jc w:val="left"/>
              <w:rPr>
                <w:rFonts w:ascii="Times New Roman" w:hAnsi="Times New Roman"/>
                <w:szCs w:val="21"/>
                <w:highlight w:val="white"/>
              </w:rPr>
            </w:pPr>
          </w:p>
        </w:tc>
        <w:tc>
          <w:tcPr>
            <w:tcW w:w="1509" w:type="dxa"/>
            <w:noWrap w:val="0"/>
            <w:vAlign w:val="center"/>
          </w:tcPr>
          <w:p w14:paraId="5F436D62">
            <w:pPr>
              <w:widowControl/>
              <w:jc w:val="left"/>
              <w:rPr>
                <w:rFonts w:ascii="Times New Roman" w:hAnsi="Times New Roman"/>
                <w:szCs w:val="21"/>
                <w:highlight w:val="white"/>
              </w:rPr>
            </w:pPr>
            <w:r>
              <w:rPr>
                <w:rStyle w:val="25"/>
                <w:rFonts w:ascii="宋体" w:hAnsi="宋体" w:eastAsia="宋体" w:cs="宋体"/>
                <w:b w:val="0"/>
                <w:sz w:val="21"/>
                <w:szCs w:val="24"/>
              </w:rPr>
              <w:t>投标报价</w:t>
            </w:r>
          </w:p>
        </w:tc>
        <w:tc>
          <w:tcPr>
            <w:tcW w:w="4986" w:type="dxa"/>
            <w:noWrap w:val="0"/>
            <w:vAlign w:val="center"/>
          </w:tcPr>
          <w:p w14:paraId="43414826">
            <w:pPr>
              <w:widowControl/>
              <w:jc w:val="left"/>
              <w:rPr>
                <w:rStyle w:val="25"/>
                <w:rFonts w:ascii="宋体" w:hAnsi="宋体" w:cs="宋体"/>
                <w:color w:val="000000"/>
                <w:kern w:val="0"/>
                <w:szCs w:val="21"/>
              </w:rPr>
            </w:pPr>
            <w:r>
              <w:rPr>
                <w:rStyle w:val="25"/>
                <w:rFonts w:ascii="宋体" w:hAnsi="宋体" w:cs="宋体"/>
                <w:color w:val="000000"/>
                <w:kern w:val="0"/>
                <w:szCs w:val="21"/>
              </w:rPr>
              <w:t>有两个及以上的报价（指投标函中的大写报价），或投标函中的投标总报价与投标报价清单中的投标总</w:t>
            </w:r>
          </w:p>
          <w:p w14:paraId="31F48F5D">
            <w:pPr>
              <w:widowControl/>
              <w:jc w:val="left"/>
              <w:rPr>
                <w:rFonts w:ascii="Times New Roman" w:hAnsi="Times New Roman"/>
                <w:szCs w:val="21"/>
                <w:highlight w:val="white"/>
              </w:rPr>
            </w:pPr>
            <w:r>
              <w:rPr>
                <w:rStyle w:val="25"/>
                <w:rFonts w:ascii="宋体" w:hAnsi="宋体" w:cs="宋体"/>
                <w:color w:val="000000"/>
                <w:kern w:val="0"/>
                <w:szCs w:val="21"/>
              </w:rPr>
              <w:t>报价不一致</w:t>
            </w:r>
            <w:r>
              <w:rPr>
                <w:rStyle w:val="25"/>
                <w:rFonts w:hint="eastAsia" w:ascii="宋体" w:hAnsi="宋体" w:cs="宋体"/>
                <w:color w:val="000000"/>
                <w:kern w:val="0"/>
                <w:szCs w:val="21"/>
                <w:lang w:val="en-US" w:eastAsia="zh-CN"/>
              </w:rPr>
              <w:t>。</w:t>
            </w:r>
          </w:p>
        </w:tc>
      </w:tr>
      <w:tr w14:paraId="63D1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17E828F9">
            <w:pPr>
              <w:spacing w:line="360" w:lineRule="auto"/>
              <w:jc w:val="center"/>
              <w:rPr>
                <w:rFonts w:hint="default" w:ascii="Times New Roman" w:hAnsi="Times New Roman"/>
                <w:szCs w:val="21"/>
                <w:highlight w:val="white"/>
                <w:lang w:val="en-US" w:eastAsia="zh-CN"/>
              </w:rPr>
            </w:pPr>
            <w:r>
              <w:rPr>
                <w:rFonts w:hint="eastAsia" w:ascii="Times New Roman" w:hAnsi="Times New Roman"/>
                <w:szCs w:val="21"/>
                <w:highlight w:val="white"/>
                <w:lang w:val="en-US" w:eastAsia="zh-CN"/>
              </w:rPr>
              <w:t>7</w:t>
            </w:r>
          </w:p>
        </w:tc>
        <w:tc>
          <w:tcPr>
            <w:tcW w:w="1509" w:type="dxa"/>
            <w:vMerge w:val="continue"/>
            <w:noWrap w:val="0"/>
            <w:vAlign w:val="center"/>
          </w:tcPr>
          <w:p w14:paraId="6A10FC06">
            <w:pPr>
              <w:spacing w:line="360" w:lineRule="auto"/>
              <w:jc w:val="left"/>
              <w:rPr>
                <w:rFonts w:ascii="Times New Roman" w:hAnsi="Times New Roman"/>
                <w:szCs w:val="21"/>
                <w:highlight w:val="white"/>
              </w:rPr>
            </w:pPr>
          </w:p>
        </w:tc>
        <w:tc>
          <w:tcPr>
            <w:tcW w:w="1509" w:type="dxa"/>
            <w:noWrap w:val="0"/>
            <w:vAlign w:val="center"/>
          </w:tcPr>
          <w:p w14:paraId="4A38F807">
            <w:pPr>
              <w:widowControl/>
              <w:jc w:val="left"/>
              <w:rPr>
                <w:rStyle w:val="25"/>
                <w:rFonts w:ascii="宋体" w:hAnsi="宋体" w:eastAsia="宋体" w:cs="宋体"/>
                <w:b w:val="0"/>
                <w:sz w:val="21"/>
                <w:szCs w:val="24"/>
              </w:rPr>
            </w:pPr>
            <w:r>
              <w:rPr>
                <w:rStyle w:val="25"/>
                <w:rFonts w:ascii="宋体" w:hAnsi="宋体" w:cs="宋体"/>
                <w:sz w:val="21"/>
                <w:szCs w:val="24"/>
              </w:rPr>
              <w:t>“技术暗标”</w:t>
            </w:r>
          </w:p>
        </w:tc>
        <w:tc>
          <w:tcPr>
            <w:tcW w:w="4986" w:type="dxa"/>
            <w:noWrap w:val="0"/>
            <w:vAlign w:val="center"/>
          </w:tcPr>
          <w:p w14:paraId="6C48A412">
            <w:pPr>
              <w:widowControl/>
              <w:jc w:val="left"/>
              <w:rPr>
                <w:rStyle w:val="25"/>
                <w:rFonts w:ascii="宋体" w:hAnsi="宋体" w:cs="宋体"/>
                <w:color w:val="000000"/>
                <w:kern w:val="0"/>
                <w:szCs w:val="21"/>
              </w:rPr>
            </w:pPr>
            <w:r>
              <w:rPr>
                <w:rStyle w:val="25"/>
                <w:rFonts w:ascii="宋体" w:hAnsi="宋体" w:cs="宋体"/>
                <w:color w:val="000000"/>
                <w:kern w:val="0"/>
                <w:szCs w:val="21"/>
              </w:rPr>
              <w:t>投标文件的“技术建议书”存在以下任一情形均属于重大偏差：</w:t>
            </w:r>
          </w:p>
          <w:p w14:paraId="29885BF4">
            <w:pPr>
              <w:widowControl/>
              <w:jc w:val="left"/>
              <w:rPr>
                <w:rStyle w:val="25"/>
                <w:rFonts w:ascii="宋体" w:hAnsi="宋体" w:cs="宋体"/>
                <w:color w:val="000000"/>
                <w:kern w:val="0"/>
                <w:szCs w:val="21"/>
              </w:rPr>
            </w:pPr>
            <w:r>
              <w:rPr>
                <w:rStyle w:val="25"/>
                <w:rFonts w:ascii="宋体" w:hAnsi="宋体" w:cs="宋体"/>
                <w:color w:val="000000"/>
                <w:kern w:val="0"/>
                <w:szCs w:val="21"/>
              </w:rPr>
              <w:t>（1）技术建议书中出现了页眉；</w:t>
            </w:r>
          </w:p>
          <w:p w14:paraId="33AF922B">
            <w:pPr>
              <w:widowControl/>
              <w:jc w:val="left"/>
              <w:rPr>
                <w:rStyle w:val="25"/>
                <w:rFonts w:ascii="宋体" w:hAnsi="宋体" w:cs="宋体"/>
                <w:color w:val="000000"/>
                <w:kern w:val="0"/>
                <w:szCs w:val="21"/>
              </w:rPr>
            </w:pPr>
            <w:r>
              <w:rPr>
                <w:rStyle w:val="25"/>
                <w:rFonts w:ascii="宋体" w:hAnsi="宋体" w:cs="宋体"/>
                <w:color w:val="000000"/>
                <w:kern w:val="0"/>
                <w:szCs w:val="21"/>
              </w:rPr>
              <w:t>（2）技术建议书中页脚出现了除页码以外的其他内容；</w:t>
            </w:r>
          </w:p>
          <w:p w14:paraId="661F67AB">
            <w:pPr>
              <w:widowControl/>
              <w:jc w:val="left"/>
              <w:rPr>
                <w:rStyle w:val="25"/>
                <w:rFonts w:ascii="宋体" w:hAnsi="宋体" w:cs="宋体"/>
                <w:color w:val="000000"/>
                <w:kern w:val="0"/>
                <w:szCs w:val="21"/>
              </w:rPr>
            </w:pPr>
            <w:r>
              <w:rPr>
                <w:rStyle w:val="25"/>
                <w:rFonts w:ascii="宋体" w:hAnsi="宋体" w:cs="宋体"/>
                <w:color w:val="000000"/>
                <w:kern w:val="0"/>
                <w:szCs w:val="21"/>
              </w:rPr>
              <w:t>（3）技术建议书中出现了投标人的名称；</w:t>
            </w:r>
          </w:p>
          <w:p w14:paraId="2C1FD546">
            <w:pPr>
              <w:widowControl/>
              <w:jc w:val="left"/>
              <w:rPr>
                <w:rStyle w:val="25"/>
                <w:rFonts w:ascii="宋体" w:hAnsi="宋体" w:cs="宋体"/>
                <w:color w:val="000000"/>
                <w:kern w:val="0"/>
                <w:szCs w:val="21"/>
              </w:rPr>
            </w:pPr>
            <w:r>
              <w:rPr>
                <w:rStyle w:val="25"/>
                <w:rFonts w:hint="eastAsia" w:ascii="宋体" w:hAnsi="宋体" w:cs="宋体"/>
                <w:color w:val="000000"/>
                <w:kern w:val="0"/>
                <w:szCs w:val="21"/>
                <w:lang w:eastAsia="zh-CN"/>
              </w:rPr>
              <w:t>（</w:t>
            </w:r>
            <w:r>
              <w:rPr>
                <w:rStyle w:val="25"/>
                <w:rFonts w:hint="eastAsia" w:ascii="宋体" w:hAnsi="宋体" w:cs="宋体"/>
                <w:color w:val="000000"/>
                <w:kern w:val="0"/>
                <w:szCs w:val="21"/>
                <w:lang w:val="en-US" w:eastAsia="zh-CN"/>
              </w:rPr>
              <w:t>4）</w:t>
            </w:r>
            <w:r>
              <w:rPr>
                <w:rStyle w:val="25"/>
                <w:rFonts w:ascii="宋体" w:hAnsi="宋体" w:cs="宋体"/>
                <w:color w:val="000000"/>
                <w:kern w:val="0"/>
                <w:szCs w:val="21"/>
              </w:rPr>
              <w:t>技术建议书中出现了其它可识别投标人身份的字符、徽标、人员名称等。</w:t>
            </w:r>
          </w:p>
        </w:tc>
      </w:tr>
      <w:tr w14:paraId="018A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4D1B921F">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white"/>
                <w:lang w:val="en-US" w:eastAsia="zh-CN"/>
              </w:rPr>
              <w:t>8</w:t>
            </w:r>
          </w:p>
        </w:tc>
        <w:tc>
          <w:tcPr>
            <w:tcW w:w="1509" w:type="dxa"/>
            <w:vMerge w:val="restart"/>
            <w:noWrap w:val="0"/>
            <w:vAlign w:val="center"/>
          </w:tcPr>
          <w:p w14:paraId="5951B01E">
            <w:pPr>
              <w:spacing w:line="360" w:lineRule="auto"/>
              <w:jc w:val="left"/>
              <w:rPr>
                <w:rFonts w:ascii="Times New Roman" w:hAnsi="Times New Roman"/>
                <w:szCs w:val="21"/>
              </w:rPr>
            </w:pPr>
            <w:r>
              <w:rPr>
                <w:rFonts w:ascii="Times New Roman" w:hAnsi="Times New Roman"/>
                <w:kern w:val="0"/>
                <w:lang w:bidi="ar"/>
              </w:rPr>
              <w:t>资格评审标准</w:t>
            </w:r>
          </w:p>
        </w:tc>
        <w:tc>
          <w:tcPr>
            <w:tcW w:w="1509" w:type="dxa"/>
            <w:noWrap w:val="0"/>
            <w:vAlign w:val="center"/>
          </w:tcPr>
          <w:p w14:paraId="09F5DFEC">
            <w:pPr>
              <w:spacing w:line="360" w:lineRule="auto"/>
              <w:jc w:val="left"/>
              <w:rPr>
                <w:rFonts w:ascii="Times New Roman" w:hAnsi="Times New Roman"/>
                <w:szCs w:val="21"/>
                <w:highlight w:val="white"/>
              </w:rPr>
            </w:pPr>
            <w:r>
              <w:rPr>
                <w:rFonts w:ascii="Times New Roman" w:hAnsi="Times New Roman"/>
                <w:szCs w:val="21"/>
              </w:rPr>
              <w:t>营业执照（事业单位法人证书）</w:t>
            </w:r>
          </w:p>
        </w:tc>
        <w:tc>
          <w:tcPr>
            <w:tcW w:w="4986" w:type="dxa"/>
            <w:noWrap w:val="0"/>
            <w:vAlign w:val="center"/>
          </w:tcPr>
          <w:p w14:paraId="0A872F82">
            <w:pPr>
              <w:widowControl/>
              <w:spacing w:line="240" w:lineRule="auto"/>
              <w:jc w:val="left"/>
              <w:rPr>
                <w:rFonts w:ascii="Times New Roman" w:hAnsi="Times New Roman"/>
                <w:szCs w:val="21"/>
                <w:highlight w:val="white"/>
              </w:rPr>
            </w:pPr>
            <w:r>
              <w:rPr>
                <w:rFonts w:hint="eastAsia" w:ascii="Times New Roman" w:hAnsi="Times New Roman"/>
                <w:kern w:val="0"/>
                <w:szCs w:val="21"/>
                <w:highlight w:val="none"/>
              </w:rPr>
              <w:t>未提供营业执照（事业单位法人证书），或提供的营业执照（事业单位法人证书）无效</w:t>
            </w:r>
          </w:p>
        </w:tc>
      </w:tr>
      <w:tr w14:paraId="236BC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183AF369">
            <w:pPr>
              <w:spacing w:line="360" w:lineRule="auto"/>
              <w:jc w:val="center"/>
              <w:rPr>
                <w:rFonts w:hint="eastAsia" w:ascii="Times New Roman" w:hAnsi="Times New Roman" w:eastAsia="宋体"/>
                <w:szCs w:val="21"/>
                <w:highlight w:val="white"/>
                <w:lang w:eastAsia="zh-CN"/>
              </w:rPr>
            </w:pPr>
            <w:r>
              <w:rPr>
                <w:rFonts w:hint="eastAsia" w:ascii="Times New Roman" w:hAnsi="Times New Roman"/>
                <w:szCs w:val="21"/>
                <w:highlight w:val="white"/>
                <w:lang w:val="en-US" w:eastAsia="zh-CN"/>
              </w:rPr>
              <w:t>9</w:t>
            </w:r>
          </w:p>
        </w:tc>
        <w:tc>
          <w:tcPr>
            <w:tcW w:w="1509" w:type="dxa"/>
            <w:vMerge w:val="continue"/>
            <w:noWrap w:val="0"/>
            <w:vAlign w:val="center"/>
          </w:tcPr>
          <w:p w14:paraId="654C737C">
            <w:pPr>
              <w:spacing w:line="360" w:lineRule="auto"/>
              <w:jc w:val="left"/>
              <w:rPr>
                <w:rFonts w:ascii="Times New Roman" w:hAnsi="Times New Roman"/>
                <w:szCs w:val="21"/>
              </w:rPr>
            </w:pPr>
          </w:p>
        </w:tc>
        <w:tc>
          <w:tcPr>
            <w:tcW w:w="1509" w:type="dxa"/>
            <w:noWrap w:val="0"/>
            <w:vAlign w:val="center"/>
          </w:tcPr>
          <w:p w14:paraId="72DF5206">
            <w:pPr>
              <w:spacing w:line="360" w:lineRule="auto"/>
              <w:jc w:val="left"/>
              <w:rPr>
                <w:rFonts w:ascii="Times New Roman" w:hAnsi="Times New Roman"/>
                <w:szCs w:val="21"/>
                <w:highlight w:val="white"/>
              </w:rPr>
            </w:pPr>
            <w:r>
              <w:rPr>
                <w:rFonts w:ascii="Times New Roman" w:hAnsi="Times New Roman"/>
                <w:szCs w:val="21"/>
              </w:rPr>
              <w:t>基本账户开户证明</w:t>
            </w:r>
          </w:p>
        </w:tc>
        <w:tc>
          <w:tcPr>
            <w:tcW w:w="4986" w:type="dxa"/>
            <w:noWrap w:val="0"/>
            <w:vAlign w:val="center"/>
          </w:tcPr>
          <w:p w14:paraId="2AAF20D5">
            <w:pPr>
              <w:spacing w:line="360" w:lineRule="auto"/>
              <w:rPr>
                <w:rFonts w:hint="eastAsia" w:ascii="Times New Roman" w:hAnsi="Times New Roman"/>
                <w:szCs w:val="21"/>
              </w:rPr>
            </w:pPr>
            <w:r>
              <w:rPr>
                <w:rFonts w:hint="eastAsia" w:ascii="Times New Roman" w:hAnsi="Times New Roman"/>
                <w:szCs w:val="21"/>
              </w:rPr>
              <w:t>采用现金方式递交投标保证金的，至少提供以下材料之一，否则属于重大偏差：</w:t>
            </w:r>
          </w:p>
          <w:p w14:paraId="592C30C2">
            <w:pPr>
              <w:spacing w:line="360" w:lineRule="auto"/>
              <w:rPr>
                <w:rFonts w:hint="eastAsia" w:ascii="Times New Roman" w:hAnsi="Times New Roman"/>
                <w:szCs w:val="21"/>
              </w:rPr>
            </w:pPr>
            <w:r>
              <w:rPr>
                <w:rFonts w:hint="eastAsia" w:ascii="Times New Roman" w:hAnsi="Times New Roman"/>
                <w:szCs w:val="21"/>
              </w:rPr>
              <w:t>（1）有效的基本账户开户许可证；</w:t>
            </w:r>
          </w:p>
          <w:p w14:paraId="3B71B327">
            <w:pPr>
              <w:spacing w:line="360" w:lineRule="auto"/>
              <w:rPr>
                <w:rFonts w:ascii="Times New Roman" w:hAnsi="Times New Roman"/>
                <w:szCs w:val="21"/>
                <w:highlight w:val="white"/>
              </w:rPr>
            </w:pPr>
            <w:r>
              <w:rPr>
                <w:rFonts w:hint="eastAsia" w:ascii="Times New Roman" w:hAnsi="Times New Roman"/>
                <w:szCs w:val="21"/>
              </w:rPr>
              <w:t>（2）基本存款账户信息。</w:t>
            </w:r>
          </w:p>
        </w:tc>
      </w:tr>
      <w:tr w14:paraId="3528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726" w:type="dxa"/>
            <w:noWrap w:val="0"/>
            <w:vAlign w:val="center"/>
          </w:tcPr>
          <w:p w14:paraId="2DDD374A">
            <w:pPr>
              <w:spacing w:line="360" w:lineRule="auto"/>
              <w:jc w:val="center"/>
              <w:rPr>
                <w:rFonts w:ascii="Times New Roman" w:hAnsi="Times New Roman"/>
                <w:szCs w:val="21"/>
                <w:highlight w:val="white"/>
              </w:rPr>
            </w:pPr>
            <w:r>
              <w:rPr>
                <w:rFonts w:ascii="Times New Roman" w:hAnsi="Times New Roman"/>
                <w:szCs w:val="21"/>
                <w:highlight w:val="white"/>
              </w:rPr>
              <w:t>1</w:t>
            </w:r>
            <w:r>
              <w:rPr>
                <w:rFonts w:hint="eastAsia" w:ascii="Times New Roman" w:hAnsi="Times New Roman"/>
                <w:szCs w:val="21"/>
                <w:highlight w:val="white"/>
                <w:lang w:val="en-US" w:eastAsia="zh-CN"/>
              </w:rPr>
              <w:t>0</w:t>
            </w:r>
          </w:p>
        </w:tc>
        <w:tc>
          <w:tcPr>
            <w:tcW w:w="1509" w:type="dxa"/>
            <w:vMerge w:val="continue"/>
            <w:noWrap w:val="0"/>
            <w:vAlign w:val="center"/>
          </w:tcPr>
          <w:p w14:paraId="286CB3AA">
            <w:pPr>
              <w:spacing w:line="360" w:lineRule="auto"/>
              <w:jc w:val="left"/>
              <w:rPr>
                <w:rFonts w:ascii="Times New Roman" w:hAnsi="Times New Roman"/>
                <w:szCs w:val="21"/>
                <w:highlight w:val="white"/>
              </w:rPr>
            </w:pPr>
          </w:p>
        </w:tc>
        <w:tc>
          <w:tcPr>
            <w:tcW w:w="1509" w:type="dxa"/>
            <w:noWrap w:val="0"/>
            <w:vAlign w:val="center"/>
          </w:tcPr>
          <w:p w14:paraId="20D4BE88">
            <w:pPr>
              <w:spacing w:line="360" w:lineRule="auto"/>
              <w:jc w:val="left"/>
              <w:rPr>
                <w:rFonts w:ascii="Times New Roman" w:hAnsi="Times New Roman"/>
                <w:szCs w:val="21"/>
                <w:highlight w:val="white"/>
              </w:rPr>
            </w:pPr>
            <w:r>
              <w:rPr>
                <w:rFonts w:ascii="Times New Roman" w:hAnsi="Times New Roman"/>
                <w:szCs w:val="21"/>
                <w:highlight w:val="white"/>
              </w:rPr>
              <w:t>资质要求</w:t>
            </w:r>
          </w:p>
        </w:tc>
        <w:tc>
          <w:tcPr>
            <w:tcW w:w="4986" w:type="dxa"/>
            <w:noWrap w:val="0"/>
            <w:vAlign w:val="center"/>
          </w:tcPr>
          <w:p w14:paraId="280594E1">
            <w:pPr>
              <w:spacing w:line="360" w:lineRule="auto"/>
              <w:rPr>
                <w:rFonts w:ascii="Times New Roman" w:hAnsi="Times New Roman"/>
                <w:b/>
                <w:bCs/>
                <w:szCs w:val="21"/>
              </w:rPr>
            </w:pPr>
            <w:r>
              <w:rPr>
                <w:rFonts w:hint="eastAsia" w:ascii="Times New Roman" w:hAnsi="Times New Roman"/>
                <w:b/>
                <w:bCs/>
                <w:szCs w:val="21"/>
              </w:rPr>
              <w:t>投标人不满足以下任一情形均属于重大偏差：</w:t>
            </w:r>
          </w:p>
          <w:p w14:paraId="41F4B26E">
            <w:pPr>
              <w:spacing w:line="360" w:lineRule="auto"/>
              <w:rPr>
                <w:rFonts w:hint="eastAsia" w:ascii="Times New Roman" w:hAnsi="Times New Roman"/>
                <w:szCs w:val="21"/>
              </w:rPr>
            </w:pPr>
            <w:r>
              <w:rPr>
                <w:rFonts w:hint="eastAsia" w:ascii="Times New Roman" w:hAnsi="Times New Roman"/>
                <w:szCs w:val="21"/>
              </w:rPr>
              <w:t>1、同时具备：</w:t>
            </w:r>
          </w:p>
          <w:p w14:paraId="2DB37F47">
            <w:pPr>
              <w:spacing w:line="360" w:lineRule="auto"/>
              <w:rPr>
                <w:rFonts w:hint="eastAsia" w:ascii="Times New Roman" w:hAnsi="Times New Roman"/>
                <w:szCs w:val="21"/>
              </w:rPr>
            </w:pPr>
            <w:r>
              <w:rPr>
                <w:rFonts w:hint="eastAsia" w:ascii="Times New Roman" w:hAnsi="Times New Roman"/>
                <w:szCs w:val="21"/>
              </w:rPr>
              <w:t>（1）有效的营业执照或事业单位法人证书；</w:t>
            </w:r>
          </w:p>
          <w:p w14:paraId="762029CA">
            <w:pPr>
              <w:spacing w:line="360" w:lineRule="auto"/>
              <w:ind w:firstLine="0" w:firstLineChars="0"/>
              <w:jc w:val="left"/>
              <w:rPr>
                <w:rFonts w:hint="eastAsia" w:ascii="Times New Roman" w:hAnsi="Times New Roman" w:eastAsia="宋体" w:cs="Times New Roman"/>
                <w:color w:val="auto"/>
                <w:szCs w:val="21"/>
                <w:highlight w:val="none"/>
                <w:lang w:eastAsia="zh-CN"/>
              </w:rPr>
            </w:pPr>
            <w:r>
              <w:rPr>
                <w:rFonts w:hint="eastAsia" w:ascii="Times New Roman" w:hAnsi="Times New Roman"/>
                <w:szCs w:val="21"/>
                <w:highlight w:val="none"/>
              </w:rPr>
              <w:t>（2）</w:t>
            </w:r>
            <w:r>
              <w:rPr>
                <w:rFonts w:hint="eastAsia" w:ascii="Times New Roman" w:hAnsi="Times New Roman"/>
                <w:szCs w:val="21"/>
                <w:highlight w:val="none"/>
                <w:lang w:eastAsia="zh-CN"/>
              </w:rPr>
              <w:t>持有下列资质证书之一：</w:t>
            </w:r>
          </w:p>
          <w:p w14:paraId="261ED565">
            <w:pPr>
              <w:widowControl/>
              <w:spacing w:line="360" w:lineRule="auto"/>
              <w:jc w:val="left"/>
              <w:rPr>
                <w:rFonts w:hint="eastAsia" w:ascii="Times New Roman" w:hAnsi="Times New Roman"/>
                <w:szCs w:val="21"/>
              </w:rPr>
            </w:pPr>
            <w:r>
              <w:rPr>
                <w:rFonts w:hint="eastAsia" w:ascii="Times New Roman" w:hAnsi="Times New Roman"/>
                <w:szCs w:val="21"/>
              </w:rPr>
              <w:t>①有效的住房城乡建设部颁发的工程勘察综合甲级资质或者工程勘察岩土工程专业甲级资质；</w:t>
            </w:r>
          </w:p>
          <w:p w14:paraId="3DCB150F">
            <w:pPr>
              <w:widowControl/>
              <w:spacing w:line="360" w:lineRule="auto"/>
              <w:jc w:val="left"/>
              <w:rPr>
                <w:rFonts w:hint="eastAsia" w:ascii="Times New Roman" w:hAnsi="Times New Roman"/>
                <w:szCs w:val="21"/>
              </w:rPr>
            </w:pPr>
            <w:r>
              <w:rPr>
                <w:rFonts w:hint="eastAsia" w:ascii="Times New Roman" w:hAnsi="Times New Roman"/>
                <w:szCs w:val="21"/>
              </w:rPr>
              <w:t>②有效的公路工程质量检测乙级或公路工程综合乙级试验检测资质；</w:t>
            </w:r>
          </w:p>
          <w:p w14:paraId="390F82D6">
            <w:pPr>
              <w:spacing w:line="360" w:lineRule="auto"/>
              <w:rPr>
                <w:rFonts w:ascii="Times New Roman" w:hAnsi="Times New Roman"/>
                <w:szCs w:val="21"/>
              </w:rPr>
            </w:pPr>
            <w:r>
              <w:rPr>
                <w:rFonts w:hint="eastAsia" w:ascii="Times New Roman" w:hAnsi="Times New Roman"/>
                <w:szCs w:val="21"/>
              </w:rPr>
              <w:t>③有效的地质灾害评估和治理工程勘查设计甲级资质。</w:t>
            </w:r>
          </w:p>
          <w:p w14:paraId="4C1CB3B9">
            <w:pPr>
              <w:spacing w:line="360" w:lineRule="auto"/>
              <w:rPr>
                <w:rFonts w:hint="eastAsia" w:ascii="Times New Roman" w:hAnsi="Times New Roman"/>
                <w:szCs w:val="21"/>
              </w:rPr>
            </w:pPr>
            <w:r>
              <w:rPr>
                <w:rFonts w:ascii="Times New Roman" w:hAnsi="Times New Roman"/>
                <w:szCs w:val="21"/>
              </w:rPr>
              <w:t>2</w:t>
            </w:r>
            <w:r>
              <w:rPr>
                <w:rFonts w:hint="eastAsia" w:ascii="Times New Roman" w:hAnsi="Times New Roman"/>
                <w:szCs w:val="21"/>
              </w:rPr>
              <w:t>、投标人应填报投标文件格式资格审查资料“投标人基本情况表”。因投标文件格式资格审查资料“投标人基本情况表”注的内容为范本的固定格式无法编辑，投标文件格式资格审查资料“投标人基本情况表”注的内容与附录 1 资格审查条件（资质最低要求）注的要求不一致的，以附录 1 资格审查条件（资质最低要求）注的要求为准。</w:t>
            </w:r>
          </w:p>
          <w:p w14:paraId="3864CA61">
            <w:pPr>
              <w:spacing w:line="360" w:lineRule="auto"/>
              <w:rPr>
                <w:rFonts w:hint="eastAsia" w:ascii="Times New Roman" w:hAnsi="Times New Roman"/>
                <w:szCs w:val="21"/>
              </w:rPr>
            </w:pPr>
            <w:r>
              <w:rPr>
                <w:rFonts w:ascii="Times New Roman" w:hAnsi="Times New Roman"/>
                <w:szCs w:val="21"/>
              </w:rPr>
              <w:t>3</w:t>
            </w:r>
            <w:r>
              <w:rPr>
                <w:rFonts w:hint="eastAsia" w:ascii="Times New Roman" w:hAnsi="Times New Roman"/>
                <w:szCs w:val="21"/>
              </w:rPr>
              <w:t>、“投标人基本情况表”后附相应证明材料。证明材料应附：营业执照（或事业单位法人证书）、资质证书的扫描件（各项证书的扫描件应包括投标人名称、投标人其他相关信息、颁发机构名称、投标人信息变更情况等关键页在内，封面、封底、空白页可不附）。</w:t>
            </w:r>
          </w:p>
          <w:p w14:paraId="1965B0D9">
            <w:pPr>
              <w:spacing w:line="360" w:lineRule="auto"/>
              <w:rPr>
                <w:rFonts w:hint="eastAsia"/>
                <w:lang w:val="en-US" w:eastAsia="zh-CN"/>
              </w:rPr>
            </w:pPr>
            <w:r>
              <w:rPr>
                <w:rFonts w:hint="eastAsia" w:ascii="Times New Roman" w:hAnsi="Times New Roman" w:eastAsia="宋体" w:cs="Times New Roman"/>
                <w:szCs w:val="21"/>
              </w:rPr>
              <w:t>4、</w:t>
            </w:r>
            <w:r>
              <w:rPr>
                <w:rFonts w:hint="eastAsia" w:ascii="Times New Roman" w:hAnsi="Times New Roman"/>
                <w:szCs w:val="21"/>
              </w:rPr>
              <w:t>对于法人发生重组或变更且变更内容影响本次投标的投标人，应在投标文件格式资格审查资料“投标人基本情况表”后附有法人重组或变更时相关部门的合法批件、变更时的营业执照或事业单位法人</w:t>
            </w:r>
            <w:r>
              <w:rPr>
                <w:rFonts w:hint="eastAsia" w:ascii="Times New Roman" w:hAnsi="Times New Roman"/>
                <w:szCs w:val="21"/>
                <w:lang w:val="en-US" w:eastAsia="zh-CN"/>
              </w:rPr>
              <w:t>证书</w:t>
            </w:r>
            <w:r>
              <w:rPr>
                <w:rFonts w:hint="eastAsia" w:ascii="Times New Roman" w:hAnsi="Times New Roman"/>
                <w:szCs w:val="21"/>
              </w:rPr>
              <w:t>的变更记录扫描件。</w:t>
            </w:r>
          </w:p>
        </w:tc>
      </w:tr>
      <w:tr w14:paraId="0419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726" w:type="dxa"/>
            <w:noWrap w:val="0"/>
            <w:vAlign w:val="center"/>
          </w:tcPr>
          <w:p w14:paraId="0F34E25B">
            <w:pPr>
              <w:spacing w:line="360" w:lineRule="auto"/>
              <w:jc w:val="center"/>
              <w:rPr>
                <w:rFonts w:hint="default" w:ascii="Times New Roman" w:hAnsi="Times New Roman" w:eastAsia="宋体"/>
                <w:szCs w:val="21"/>
                <w:highlight w:val="white"/>
                <w:lang w:val="en-US" w:eastAsia="zh-CN"/>
              </w:rPr>
            </w:pPr>
            <w:r>
              <w:rPr>
                <w:rFonts w:hint="eastAsia" w:ascii="Times New Roman" w:hAnsi="Times New Roman"/>
                <w:szCs w:val="21"/>
                <w:highlight w:val="white"/>
                <w:lang w:val="en-US" w:eastAsia="zh-CN"/>
              </w:rPr>
              <w:t>11</w:t>
            </w:r>
          </w:p>
        </w:tc>
        <w:tc>
          <w:tcPr>
            <w:tcW w:w="1509" w:type="dxa"/>
            <w:vMerge w:val="continue"/>
            <w:noWrap w:val="0"/>
            <w:vAlign w:val="center"/>
          </w:tcPr>
          <w:p w14:paraId="113586EF">
            <w:pPr>
              <w:spacing w:line="360" w:lineRule="auto"/>
              <w:jc w:val="left"/>
              <w:rPr>
                <w:rFonts w:ascii="Times New Roman" w:hAnsi="Times New Roman"/>
                <w:szCs w:val="21"/>
                <w:highlight w:val="white"/>
              </w:rPr>
            </w:pPr>
          </w:p>
        </w:tc>
        <w:tc>
          <w:tcPr>
            <w:tcW w:w="1509" w:type="dxa"/>
            <w:noWrap w:val="0"/>
            <w:vAlign w:val="center"/>
          </w:tcPr>
          <w:p w14:paraId="62615ABA">
            <w:pPr>
              <w:spacing w:line="360" w:lineRule="auto"/>
              <w:jc w:val="left"/>
              <w:rPr>
                <w:rFonts w:ascii="Times New Roman" w:hAnsi="Times New Roman"/>
                <w:szCs w:val="21"/>
                <w:highlight w:val="white"/>
              </w:rPr>
            </w:pPr>
            <w:r>
              <w:rPr>
                <w:rFonts w:ascii="Times New Roman" w:hAnsi="Times New Roman"/>
                <w:szCs w:val="21"/>
                <w:highlight w:val="white"/>
              </w:rPr>
              <w:t>业绩要求</w:t>
            </w:r>
          </w:p>
        </w:tc>
        <w:tc>
          <w:tcPr>
            <w:tcW w:w="4986" w:type="dxa"/>
            <w:noWrap w:val="0"/>
            <w:vAlign w:val="center"/>
          </w:tcPr>
          <w:p w14:paraId="03AFEDF6">
            <w:pPr>
              <w:spacing w:line="360" w:lineRule="auto"/>
              <w:rPr>
                <w:rFonts w:ascii="Times New Roman" w:hAnsi="Times New Roman"/>
                <w:b/>
                <w:bCs/>
                <w:szCs w:val="21"/>
              </w:rPr>
            </w:pPr>
            <w:r>
              <w:rPr>
                <w:rFonts w:hint="eastAsia" w:ascii="Times New Roman" w:hAnsi="Times New Roman"/>
                <w:b/>
                <w:bCs/>
                <w:szCs w:val="21"/>
              </w:rPr>
              <w:t>投标人不满足以下任一情形均属于重大偏差：</w:t>
            </w:r>
          </w:p>
          <w:p w14:paraId="3AA697A0">
            <w:pPr>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kern w:val="2"/>
                <w:sz w:val="21"/>
                <w:szCs w:val="21"/>
                <w:lang w:val="en-US" w:eastAsia="zh-CN" w:bidi="ar-SA"/>
              </w:rPr>
              <w:t>1、近5年完成过1个高速公路项目的高边坡监测工作</w:t>
            </w:r>
            <w:r>
              <w:rPr>
                <w:rFonts w:hint="eastAsia" w:ascii="Times New Roman" w:hAnsi="Times New Roman" w:eastAsia="宋体" w:cs="Times New Roman"/>
                <w:szCs w:val="21"/>
                <w:highlight w:val="none"/>
              </w:rPr>
              <w:t>。</w:t>
            </w:r>
          </w:p>
          <w:p w14:paraId="2708A5A5">
            <w:pPr>
              <w:spacing w:line="360" w:lineRule="auto"/>
              <w:rPr>
                <w:rFonts w:hint="eastAsia" w:ascii="Times New Roman" w:hAnsi="Times New Roman"/>
                <w:szCs w:val="21"/>
              </w:rPr>
            </w:pPr>
            <w:r>
              <w:rPr>
                <w:rFonts w:ascii="Times New Roman" w:hAnsi="Times New Roman"/>
                <w:szCs w:val="21"/>
              </w:rPr>
              <w:t>2</w:t>
            </w:r>
            <w:r>
              <w:rPr>
                <w:rFonts w:hint="eastAsia" w:ascii="Times New Roman" w:hAnsi="Times New Roman"/>
                <w:szCs w:val="21"/>
              </w:rPr>
              <w:t>、投标人应填报投标文件格式资格审查资料“近年完成的类似项目情况表”，并在本表后附相应证明材料。</w:t>
            </w:r>
          </w:p>
          <w:p w14:paraId="38FD38E5">
            <w:pPr>
              <w:spacing w:line="360" w:lineRule="auto"/>
              <w:rPr>
                <w:rFonts w:hint="eastAsia" w:ascii="Times New Roman" w:hAnsi="Times New Roman"/>
                <w:szCs w:val="21"/>
              </w:rPr>
            </w:pPr>
            <w:r>
              <w:rPr>
                <w:rFonts w:ascii="Times New Roman" w:hAnsi="Times New Roman"/>
                <w:szCs w:val="21"/>
              </w:rPr>
              <w:t>3</w:t>
            </w:r>
            <w:r>
              <w:rPr>
                <w:rFonts w:hint="eastAsia" w:ascii="Times New Roman" w:hAnsi="Times New Roman"/>
                <w:szCs w:val="21"/>
              </w:rPr>
              <w:t>、业绩证明材料要求：需提供合同协议书</w:t>
            </w:r>
            <w:r>
              <w:rPr>
                <w:rFonts w:hint="eastAsia" w:ascii="Times New Roman" w:hAnsi="Times New Roman"/>
                <w:szCs w:val="21"/>
                <w:lang w:eastAsia="zh-CN"/>
              </w:rPr>
              <w:t>和发包人（或委托人）出具的标有履约完成时间的证明材料，若上述材料无法体现资格审查条件要求的技术指标和投标人完成的具体任务，还应提供发包人（或委托人）出具的业绩证明材料，否则该业绩将不予认可</w:t>
            </w:r>
            <w:r>
              <w:rPr>
                <w:rFonts w:hint="eastAsia" w:ascii="Times New Roman" w:hAnsi="Times New Roman"/>
                <w:szCs w:val="21"/>
              </w:rPr>
              <w:t>。</w:t>
            </w:r>
          </w:p>
          <w:p w14:paraId="7B448E5F">
            <w:pPr>
              <w:spacing w:line="360" w:lineRule="auto"/>
              <w:rPr>
                <w:rFonts w:hint="eastAsia" w:ascii="Times New Roman" w:hAnsi="Times New Roman"/>
                <w:szCs w:val="21"/>
              </w:rPr>
            </w:pPr>
            <w:r>
              <w:rPr>
                <w:rFonts w:hint="eastAsia" w:ascii="Times New Roman" w:hAnsi="Times New Roman"/>
                <w:szCs w:val="21"/>
                <w:lang w:val="en-US" w:eastAsia="zh-CN"/>
              </w:rPr>
              <w:t>4</w:t>
            </w:r>
            <w:r>
              <w:rPr>
                <w:rFonts w:hint="eastAsia" w:ascii="Times New Roman" w:hAnsi="Times New Roman"/>
                <w:szCs w:val="21"/>
              </w:rPr>
              <w:t>、如近年来，投标人法人机构发生合法变更或重组或法人名称变更时，应提供相关部门的合法批件及其他相关证明材料来证明其所附业绩的继承性。在对投标人进行业绩审查时，如果投标人是由若干直接被管理的子公司组成的母公司，其业绩仅以其名义签署的合同计算，其直接管理的子公司业绩均不予考虑。如果投标人是某一母公司直接管理的子公司，其业绩亦不能以其母公司的名义计算。</w:t>
            </w:r>
          </w:p>
          <w:p w14:paraId="31B00272">
            <w:pPr>
              <w:spacing w:line="360" w:lineRule="auto"/>
              <w:rPr>
                <w:rFonts w:hint="eastAsia" w:ascii="Times New Roman" w:hAnsi="Times New Roman"/>
                <w:szCs w:val="21"/>
              </w:rPr>
            </w:pPr>
            <w:r>
              <w:rPr>
                <w:rFonts w:hint="eastAsia" w:ascii="Times New Roman" w:hAnsi="Times New Roman"/>
                <w:szCs w:val="21"/>
                <w:lang w:val="en-US" w:eastAsia="zh-CN"/>
              </w:rPr>
              <w:t>5</w:t>
            </w:r>
            <w:r>
              <w:rPr>
                <w:rFonts w:hint="eastAsia" w:ascii="Times New Roman" w:hAnsi="Times New Roman"/>
                <w:szCs w:val="21"/>
              </w:rPr>
              <w:t>、</w:t>
            </w:r>
            <w:r>
              <w:rPr>
                <w:rFonts w:hint="eastAsia" w:ascii="Times New Roman" w:hAnsi="Times New Roman"/>
                <w:szCs w:val="21"/>
                <w:lang w:eastAsia="zh-CN"/>
              </w:rPr>
              <w:t>近5年，为2021年1月1日至投标截止日期前一日，以发包人（或委托人）出具的标有履约完成时间的证明材料时间为准</w:t>
            </w:r>
            <w:r>
              <w:rPr>
                <w:rFonts w:hint="eastAsia" w:ascii="Times New Roman" w:hAnsi="Times New Roman"/>
                <w:szCs w:val="21"/>
              </w:rPr>
              <w:t>。</w:t>
            </w:r>
          </w:p>
          <w:p w14:paraId="4E9E6F52">
            <w:pPr>
              <w:spacing w:line="360" w:lineRule="auto"/>
              <w:rPr>
                <w:rFonts w:hint="eastAsia" w:ascii="Times New Roman" w:hAnsi="Times New Roman"/>
                <w:szCs w:val="21"/>
                <w:lang w:val="en-US" w:eastAsia="zh-CN"/>
              </w:rPr>
            </w:pPr>
            <w:r>
              <w:rPr>
                <w:rFonts w:hint="eastAsia" w:ascii="Times New Roman" w:hAnsi="Times New Roman"/>
                <w:szCs w:val="21"/>
                <w:lang w:val="en-US" w:eastAsia="zh-CN"/>
              </w:rPr>
              <w:t>6、</w:t>
            </w:r>
            <w:r>
              <w:rPr>
                <w:rFonts w:hint="eastAsia" w:ascii="Times New Roman" w:hAnsi="Times New Roman" w:eastAsia="黑体" w:cs="Times New Roman"/>
                <w:szCs w:val="21"/>
                <w:highlight w:val="none"/>
                <w:lang w:val="en-US" w:eastAsia="zh-CN"/>
              </w:rPr>
              <w:t>高边坡是指：根据《公路路基设计规范》（JTG D30—2015），路基填土边坡高度大于 20m 的高路堤，土质挖方边坡高度大于 20m 或岩石挖方边坡高度大于 30m 的深路堑。</w:t>
            </w:r>
          </w:p>
        </w:tc>
      </w:tr>
      <w:tr w14:paraId="016B1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382CC6EC">
            <w:pPr>
              <w:spacing w:line="360" w:lineRule="auto"/>
              <w:jc w:val="center"/>
              <w:rPr>
                <w:rFonts w:hint="eastAsia" w:ascii="Times New Roman" w:hAnsi="Times New Roman" w:eastAsia="宋体"/>
                <w:szCs w:val="21"/>
                <w:highlight w:val="white"/>
                <w:lang w:eastAsia="zh-CN"/>
              </w:rPr>
            </w:pPr>
            <w:r>
              <w:rPr>
                <w:rFonts w:ascii="Times New Roman" w:hAnsi="Times New Roman"/>
                <w:szCs w:val="21"/>
                <w:highlight w:val="white"/>
              </w:rPr>
              <w:t>1</w:t>
            </w:r>
            <w:r>
              <w:rPr>
                <w:rFonts w:hint="eastAsia" w:ascii="Times New Roman" w:hAnsi="Times New Roman"/>
                <w:szCs w:val="21"/>
                <w:highlight w:val="white"/>
                <w:lang w:val="en-US" w:eastAsia="zh-CN"/>
              </w:rPr>
              <w:t>2</w:t>
            </w:r>
          </w:p>
        </w:tc>
        <w:tc>
          <w:tcPr>
            <w:tcW w:w="1509" w:type="dxa"/>
            <w:vMerge w:val="continue"/>
            <w:noWrap w:val="0"/>
            <w:vAlign w:val="center"/>
          </w:tcPr>
          <w:p w14:paraId="74874882">
            <w:pPr>
              <w:spacing w:line="360" w:lineRule="auto"/>
              <w:jc w:val="left"/>
              <w:rPr>
                <w:rFonts w:ascii="Times New Roman" w:hAnsi="Times New Roman"/>
                <w:szCs w:val="21"/>
                <w:highlight w:val="white"/>
              </w:rPr>
            </w:pPr>
          </w:p>
        </w:tc>
        <w:tc>
          <w:tcPr>
            <w:tcW w:w="1509" w:type="dxa"/>
            <w:noWrap w:val="0"/>
            <w:vAlign w:val="center"/>
          </w:tcPr>
          <w:p w14:paraId="422DBBAC">
            <w:pPr>
              <w:spacing w:line="360" w:lineRule="auto"/>
              <w:jc w:val="left"/>
              <w:rPr>
                <w:rFonts w:ascii="Times New Roman" w:hAnsi="Times New Roman"/>
                <w:szCs w:val="21"/>
                <w:highlight w:val="white"/>
              </w:rPr>
            </w:pPr>
            <w:r>
              <w:rPr>
                <w:rFonts w:ascii="Times New Roman" w:hAnsi="Times New Roman"/>
                <w:szCs w:val="21"/>
                <w:highlight w:val="white"/>
              </w:rPr>
              <w:t>信誉要求</w:t>
            </w:r>
          </w:p>
        </w:tc>
        <w:tc>
          <w:tcPr>
            <w:tcW w:w="4986" w:type="dxa"/>
            <w:noWrap w:val="0"/>
            <w:vAlign w:val="center"/>
          </w:tcPr>
          <w:p w14:paraId="37AB4318">
            <w:pPr>
              <w:spacing w:line="360" w:lineRule="auto"/>
              <w:rPr>
                <w:rFonts w:ascii="Times New Roman" w:hAnsi="Times New Roman"/>
                <w:b/>
                <w:bCs/>
                <w:szCs w:val="21"/>
              </w:rPr>
            </w:pPr>
            <w:r>
              <w:rPr>
                <w:rFonts w:hint="eastAsia" w:ascii="Times New Roman" w:hAnsi="Times New Roman"/>
                <w:b/>
                <w:bCs/>
                <w:szCs w:val="21"/>
              </w:rPr>
              <w:t>投标人不满足以下任一情形均属于重大偏差：</w:t>
            </w:r>
          </w:p>
          <w:p w14:paraId="47EED4B8">
            <w:pPr>
              <w:spacing w:line="360" w:lineRule="auto"/>
              <w:rPr>
                <w:rFonts w:hint="eastAsia" w:ascii="Times New Roman" w:hAnsi="Times New Roman"/>
                <w:szCs w:val="21"/>
              </w:rPr>
            </w:pPr>
            <w:r>
              <w:rPr>
                <w:rFonts w:hint="eastAsia" w:ascii="Times New Roman" w:hAnsi="Times New Roman"/>
                <w:szCs w:val="21"/>
              </w:rPr>
              <w:t>1、投标人未被责令停产停业、暂扣或吊销许可证、暂扣或吊销执照；</w:t>
            </w:r>
          </w:p>
          <w:p w14:paraId="3564D267">
            <w:pPr>
              <w:spacing w:line="360" w:lineRule="auto"/>
              <w:rPr>
                <w:rFonts w:hint="eastAsia" w:ascii="Times New Roman" w:hAnsi="Times New Roman"/>
                <w:szCs w:val="21"/>
              </w:rPr>
            </w:pPr>
            <w:r>
              <w:rPr>
                <w:rFonts w:hint="eastAsia" w:ascii="Times New Roman" w:hAnsi="Times New Roman"/>
                <w:szCs w:val="21"/>
              </w:rPr>
              <w:t>2、投标人未被进入清算程序，或被宣告破产，或其他丧失履约能力的情形；</w:t>
            </w:r>
          </w:p>
          <w:p w14:paraId="14F78D0D">
            <w:pPr>
              <w:spacing w:line="360" w:lineRule="auto"/>
              <w:rPr>
                <w:rFonts w:ascii="Times New Roman" w:hAnsi="Times New Roman"/>
                <w:szCs w:val="21"/>
              </w:rPr>
            </w:pPr>
            <w:r>
              <w:rPr>
                <w:rFonts w:hint="eastAsia" w:ascii="Times New Roman" w:hAnsi="Times New Roman"/>
                <w:szCs w:val="21"/>
              </w:rPr>
              <w:t>3、投标人没有被</w:t>
            </w:r>
            <w:r>
              <w:rPr>
                <w:rFonts w:hint="eastAsia" w:ascii="Times New Roman" w:hAnsi="Times New Roman"/>
                <w:szCs w:val="21"/>
                <w:lang w:val="en-US" w:eastAsia="zh-CN"/>
              </w:rPr>
              <w:t>省级</w:t>
            </w:r>
            <w:r>
              <w:rPr>
                <w:rFonts w:hint="eastAsia" w:ascii="Times New Roman" w:hAnsi="Times New Roman"/>
                <w:szCs w:val="21"/>
              </w:rPr>
              <w:t>行业主管部门或其他有权作出处罚的部门作出取消在湖北省建设市场投标资格或禁止进入湖北建设市场的处罚且处于有效期内；</w:t>
            </w:r>
          </w:p>
          <w:p w14:paraId="0D9CEE71">
            <w:pPr>
              <w:spacing w:line="360" w:lineRule="auto"/>
              <w:rPr>
                <w:rFonts w:hint="eastAsia" w:ascii="Times New Roman" w:hAnsi="Times New Roman"/>
                <w:szCs w:val="21"/>
              </w:rPr>
            </w:pPr>
            <w:r>
              <w:rPr>
                <w:rFonts w:hint="eastAsia" w:ascii="Times New Roman" w:hAnsi="Times New Roman"/>
                <w:szCs w:val="21"/>
              </w:rPr>
              <w:t>4、投标人不得存在下列不良状况或不良信用记录:</w:t>
            </w:r>
          </w:p>
          <w:p w14:paraId="78DF1FCF">
            <w:pPr>
              <w:spacing w:line="360" w:lineRule="auto"/>
              <w:rPr>
                <w:rFonts w:hint="eastAsia" w:ascii="Times New Roman" w:hAnsi="Times New Roman"/>
                <w:szCs w:val="21"/>
              </w:rPr>
            </w:pPr>
            <w:r>
              <w:rPr>
                <w:rFonts w:hint="eastAsia" w:ascii="Times New Roman" w:hAnsi="Times New Roman"/>
                <w:szCs w:val="21"/>
              </w:rPr>
              <w:t>(1)在国家企业信用信息公示系统(http://www.gsxt.gov.cn/)中被列入严重违法失信企业名单的；</w:t>
            </w:r>
          </w:p>
          <w:p w14:paraId="78981B64">
            <w:pPr>
              <w:spacing w:line="360" w:lineRule="auto"/>
              <w:rPr>
                <w:rFonts w:hint="eastAsia" w:ascii="Times New Roman" w:hAnsi="Times New Roman"/>
                <w:szCs w:val="21"/>
              </w:rPr>
            </w:pPr>
            <w:r>
              <w:rPr>
                <w:rFonts w:hint="eastAsia" w:ascii="Times New Roman" w:hAnsi="Times New Roman"/>
                <w:szCs w:val="21"/>
              </w:rPr>
              <w:t>(2)在“中国执行信息公开网”（http://zxgk.court.gov.cn/）中被列入失信被执行人名单；</w:t>
            </w:r>
          </w:p>
          <w:p w14:paraId="62C037AE">
            <w:pPr>
              <w:spacing w:line="360" w:lineRule="auto"/>
              <w:rPr>
                <w:rFonts w:hint="eastAsia" w:ascii="Times New Roman" w:hAnsi="Times New Roman"/>
                <w:szCs w:val="21"/>
              </w:rPr>
            </w:pPr>
            <w:r>
              <w:rPr>
                <w:rFonts w:hint="eastAsia" w:ascii="Times New Roman" w:hAnsi="Times New Roman"/>
                <w:szCs w:val="21"/>
              </w:rPr>
              <w:t>(3)</w:t>
            </w:r>
            <w:r>
              <w:rPr>
                <w:rFonts w:hint="eastAsia" w:ascii="Times New Roman" w:hAnsi="Times New Roman"/>
                <w:szCs w:val="21"/>
                <w:lang w:eastAsia="zh-CN"/>
              </w:rPr>
              <w:t>在近三年内投标人或其法定代表人、拟委任的项目负责人被人民法院判决为行贿罪的</w:t>
            </w:r>
            <w:r>
              <w:rPr>
                <w:rFonts w:hint="eastAsia" w:ascii="Times New Roman" w:hAnsi="Times New Roman"/>
                <w:szCs w:val="21"/>
              </w:rPr>
              <w:t>；（“近三年”是指</w:t>
            </w:r>
            <w:r>
              <w:rPr>
                <w:rFonts w:hint="eastAsia" w:ascii="Times New Roman" w:hAnsi="Times New Roman"/>
                <w:szCs w:val="21"/>
                <w:highlight w:val="none"/>
                <w:lang w:eastAsia="zh-CN"/>
              </w:rPr>
              <w:t>2023年</w:t>
            </w:r>
            <w:r>
              <w:rPr>
                <w:rFonts w:hint="eastAsia" w:ascii="Times New Roman" w:hAnsi="Times New Roman"/>
                <w:szCs w:val="21"/>
                <w:highlight w:val="none"/>
              </w:rPr>
              <w:t>1月1日</w:t>
            </w:r>
            <w:r>
              <w:rPr>
                <w:rFonts w:hint="eastAsia" w:ascii="Times New Roman" w:hAnsi="Times New Roman"/>
                <w:szCs w:val="21"/>
              </w:rPr>
              <w:t>至投标截止日前一日，以有效的法律文书生效的时间为准，同一案件有多份法律文书的以时间在后的为准。）</w:t>
            </w:r>
          </w:p>
          <w:p w14:paraId="3CD6F85F">
            <w:pPr>
              <w:spacing w:line="360" w:lineRule="auto"/>
              <w:rPr>
                <w:rFonts w:ascii="Times New Roman" w:hAnsi="Times New Roman"/>
                <w:szCs w:val="21"/>
              </w:rPr>
            </w:pPr>
            <w:r>
              <w:rPr>
                <w:rFonts w:hint="eastAsia" w:ascii="Times New Roman" w:hAnsi="Times New Roman"/>
                <w:szCs w:val="21"/>
              </w:rPr>
              <w:t>(4)其他在“信用中国”网站(http://www.creditchina.gov.cn/)中被列为严重失信主体名单，且按联合惩戒要求禁止参与招投标的。</w:t>
            </w:r>
          </w:p>
          <w:p w14:paraId="44DEEF09">
            <w:pPr>
              <w:spacing w:line="360" w:lineRule="auto"/>
              <w:rPr>
                <w:rFonts w:hint="eastAsia" w:ascii="Times New Roman" w:hAnsi="Times New Roman"/>
                <w:szCs w:val="21"/>
                <w:highlight w:val="white"/>
              </w:rPr>
            </w:pPr>
            <w:r>
              <w:rPr>
                <w:rFonts w:hint="eastAsia" w:ascii="Times New Roman" w:hAnsi="Times New Roman"/>
                <w:szCs w:val="21"/>
                <w:highlight w:val="white"/>
              </w:rPr>
              <w:t>5、</w:t>
            </w:r>
            <w:r>
              <w:rPr>
                <w:rFonts w:hint="eastAsia" w:ascii="Times New Roman" w:hAnsi="Times New Roman" w:eastAsia="黑体"/>
                <w:szCs w:val="21"/>
              </w:rPr>
              <w:t>投标人应在投标文件格式资格审查资料“投标人的信誉情况表”按给定的内容填写并提供《信誉情况承诺函》，按上述要求提供了《信誉情况承诺函》的，视为满足信誉最低要求。</w:t>
            </w:r>
            <w:r>
              <w:rPr>
                <w:rFonts w:hint="eastAsia" w:ascii="Times New Roman" w:hAnsi="Times New Roman"/>
                <w:szCs w:val="21"/>
              </w:rPr>
              <w:t>。</w:t>
            </w:r>
          </w:p>
        </w:tc>
      </w:tr>
      <w:tr w14:paraId="5D775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631898BB">
            <w:pPr>
              <w:spacing w:line="360" w:lineRule="auto"/>
              <w:jc w:val="center"/>
              <w:rPr>
                <w:rFonts w:hint="default" w:ascii="Times New Roman" w:hAnsi="Times New Roman" w:eastAsia="宋体"/>
                <w:szCs w:val="21"/>
                <w:highlight w:val="white"/>
                <w:lang w:val="en-US" w:eastAsia="zh-CN"/>
              </w:rPr>
            </w:pPr>
            <w:r>
              <w:rPr>
                <w:rFonts w:hint="eastAsia" w:ascii="Times New Roman" w:hAnsi="Times New Roman"/>
                <w:szCs w:val="21"/>
                <w:highlight w:val="white"/>
                <w:lang w:val="en-US" w:eastAsia="zh-CN"/>
              </w:rPr>
              <w:t>13</w:t>
            </w:r>
          </w:p>
        </w:tc>
        <w:tc>
          <w:tcPr>
            <w:tcW w:w="1509" w:type="dxa"/>
            <w:vMerge w:val="continue"/>
            <w:noWrap w:val="0"/>
            <w:vAlign w:val="center"/>
          </w:tcPr>
          <w:p w14:paraId="1EBF5AE3">
            <w:pPr>
              <w:spacing w:line="360" w:lineRule="auto"/>
              <w:jc w:val="left"/>
              <w:rPr>
                <w:rFonts w:ascii="Times New Roman" w:hAnsi="Times New Roman"/>
                <w:szCs w:val="21"/>
                <w:highlight w:val="white"/>
              </w:rPr>
            </w:pPr>
          </w:p>
        </w:tc>
        <w:tc>
          <w:tcPr>
            <w:tcW w:w="1509" w:type="dxa"/>
            <w:noWrap w:val="0"/>
            <w:vAlign w:val="center"/>
          </w:tcPr>
          <w:p w14:paraId="6ADB12B6">
            <w:pPr>
              <w:spacing w:line="360" w:lineRule="auto"/>
              <w:jc w:val="left"/>
              <w:rPr>
                <w:rFonts w:ascii="Times New Roman" w:hAnsi="Times New Roman"/>
                <w:szCs w:val="21"/>
                <w:highlight w:val="white"/>
              </w:rPr>
            </w:pPr>
            <w:r>
              <w:rPr>
                <w:rFonts w:ascii="Times New Roman" w:hAnsi="Times New Roman"/>
                <w:szCs w:val="21"/>
                <w:highlight w:val="white"/>
              </w:rPr>
              <w:t>主要人员要求</w:t>
            </w:r>
          </w:p>
        </w:tc>
        <w:tc>
          <w:tcPr>
            <w:tcW w:w="4986" w:type="dxa"/>
            <w:noWrap w:val="0"/>
            <w:vAlign w:val="center"/>
          </w:tcPr>
          <w:p w14:paraId="03728610">
            <w:pPr>
              <w:spacing w:line="360" w:lineRule="auto"/>
              <w:jc w:val="left"/>
              <w:rPr>
                <w:rFonts w:hint="eastAsia" w:ascii="Times New Roman" w:hAnsi="Times New Roman"/>
                <w:b/>
                <w:bCs/>
                <w:szCs w:val="21"/>
              </w:rPr>
            </w:pPr>
            <w:r>
              <w:rPr>
                <w:rFonts w:hint="eastAsia" w:ascii="Times New Roman" w:hAnsi="Times New Roman"/>
                <w:b/>
                <w:bCs/>
                <w:szCs w:val="21"/>
              </w:rPr>
              <w:t>投标人不满足以下任一情形均属于重大偏差：</w:t>
            </w:r>
          </w:p>
          <w:p w14:paraId="73FCEBAF">
            <w:pPr>
              <w:spacing w:line="360" w:lineRule="auto"/>
              <w:jc w:val="left"/>
              <w:rPr>
                <w:rFonts w:hint="eastAsia" w:ascii="Times New Roman" w:hAnsi="Times New Roman"/>
                <w:b/>
                <w:bCs/>
                <w:szCs w:val="21"/>
              </w:rPr>
            </w:pPr>
            <w:r>
              <w:rPr>
                <w:rFonts w:hint="eastAsia" w:ascii="Times New Roman" w:hAnsi="Times New Roman"/>
                <w:b/>
                <w:bCs/>
                <w:szCs w:val="21"/>
              </w:rPr>
              <w:t>1、项目负责人不满足以下任一最低要求，均属于重大偏差：</w:t>
            </w:r>
          </w:p>
          <w:p w14:paraId="0060F7B7">
            <w:pPr>
              <w:spacing w:line="360" w:lineRule="auto"/>
              <w:jc w:val="left"/>
              <w:rPr>
                <w:rFonts w:hint="eastAsia" w:ascii="Times New Roman" w:hAnsi="Times New Roman"/>
                <w:szCs w:val="21"/>
              </w:rPr>
            </w:pPr>
            <w:r>
              <w:rPr>
                <w:rFonts w:hint="eastAsia" w:ascii="Times New Roman" w:hAnsi="Times New Roman"/>
                <w:szCs w:val="21"/>
              </w:rPr>
              <w:t>（1）高级工程师或副教授或副研究员；</w:t>
            </w:r>
          </w:p>
          <w:p w14:paraId="218359C1">
            <w:pPr>
              <w:spacing w:line="360" w:lineRule="auto"/>
              <w:jc w:val="left"/>
              <w:rPr>
                <w:rFonts w:hint="eastAsia" w:ascii="Times New Roman" w:hAnsi="Times New Roman"/>
                <w:szCs w:val="21"/>
              </w:rPr>
            </w:pPr>
            <w:r>
              <w:rPr>
                <w:rFonts w:hint="eastAsia" w:ascii="Times New Roman" w:hAnsi="Times New Roman"/>
                <w:szCs w:val="21"/>
              </w:rPr>
              <w:t>（2）近5年担任过1个高速公路项目的高边坡监测项目的项目负责人或技术负责人。</w:t>
            </w:r>
          </w:p>
          <w:p w14:paraId="3874483F">
            <w:pPr>
              <w:spacing w:line="360" w:lineRule="auto"/>
              <w:jc w:val="left"/>
              <w:rPr>
                <w:rFonts w:hint="eastAsia" w:ascii="Times New Roman" w:hAnsi="Times New Roman"/>
                <w:b/>
                <w:bCs/>
                <w:szCs w:val="21"/>
              </w:rPr>
            </w:pPr>
            <w:r>
              <w:rPr>
                <w:rFonts w:hint="eastAsia" w:ascii="Times New Roman" w:hAnsi="Times New Roman"/>
                <w:b/>
                <w:bCs/>
                <w:szCs w:val="21"/>
              </w:rPr>
              <w:t>2、技术负责人不满足以下任一最低要求，均属于重大偏差：</w:t>
            </w:r>
          </w:p>
          <w:p w14:paraId="4BEF4F11">
            <w:pPr>
              <w:spacing w:line="360" w:lineRule="auto"/>
              <w:jc w:val="left"/>
              <w:rPr>
                <w:rFonts w:hint="eastAsia" w:ascii="Times New Roman" w:hAnsi="Times New Roman"/>
                <w:szCs w:val="21"/>
              </w:rPr>
            </w:pPr>
            <w:r>
              <w:rPr>
                <w:rFonts w:hint="eastAsia" w:ascii="Times New Roman" w:hAnsi="Times New Roman"/>
                <w:szCs w:val="21"/>
              </w:rPr>
              <w:t>（1）高级工程师或副教授或副研究员；</w:t>
            </w:r>
          </w:p>
          <w:p w14:paraId="144E2FE6">
            <w:pPr>
              <w:spacing w:line="360" w:lineRule="auto"/>
              <w:jc w:val="left"/>
              <w:rPr>
                <w:rFonts w:hint="eastAsia" w:ascii="Times New Roman" w:hAnsi="Times New Roman" w:eastAsia="宋体"/>
                <w:szCs w:val="21"/>
                <w:lang w:eastAsia="zh-CN"/>
              </w:rPr>
            </w:pPr>
            <w:r>
              <w:rPr>
                <w:rFonts w:hint="eastAsia" w:ascii="Times New Roman" w:hAnsi="Times New Roman"/>
                <w:szCs w:val="21"/>
              </w:rPr>
              <w:t>（2）近5年担任过1个高速公路项目的高边坡监测项目的项目负责人或技术负责人</w:t>
            </w:r>
            <w:r>
              <w:rPr>
                <w:rFonts w:hint="eastAsia" w:ascii="Times New Roman" w:hAnsi="Times New Roman"/>
                <w:szCs w:val="21"/>
                <w:lang w:eastAsia="zh-CN"/>
              </w:rPr>
              <w:t>。</w:t>
            </w:r>
          </w:p>
          <w:p w14:paraId="6DE7D596">
            <w:pPr>
              <w:spacing w:line="360" w:lineRule="auto"/>
              <w:jc w:val="left"/>
              <w:rPr>
                <w:rFonts w:hint="eastAsia" w:ascii="Times New Roman" w:hAnsi="Times New Roman"/>
                <w:szCs w:val="21"/>
              </w:rPr>
            </w:pPr>
            <w:r>
              <w:rPr>
                <w:rFonts w:hint="eastAsia" w:ascii="Times New Roman" w:hAnsi="Times New Roman"/>
                <w:szCs w:val="21"/>
                <w:lang w:val="en-US" w:eastAsia="zh-CN"/>
              </w:rPr>
              <w:t>3、</w:t>
            </w:r>
            <w:r>
              <w:rPr>
                <w:rFonts w:hint="eastAsia" w:ascii="Times New Roman" w:hAnsi="Times New Roman"/>
                <w:szCs w:val="21"/>
              </w:rPr>
              <w:t>投标人应填报投标文件格式资格审查资料“拟委任的项目负责人简历表”、“拟委任的技术负责人简历表”，并在相应表后附相应证明材料。</w:t>
            </w:r>
          </w:p>
          <w:p w14:paraId="7E513548">
            <w:pPr>
              <w:spacing w:line="360" w:lineRule="auto"/>
              <w:jc w:val="left"/>
              <w:rPr>
                <w:rFonts w:hint="eastAsia" w:ascii="Times New Roman" w:hAnsi="Times New Roman"/>
                <w:szCs w:val="21"/>
              </w:rPr>
            </w:pPr>
            <w:r>
              <w:rPr>
                <w:rFonts w:hint="eastAsia" w:ascii="Times New Roman" w:hAnsi="Times New Roman"/>
                <w:szCs w:val="21"/>
                <w:lang w:val="en-US" w:eastAsia="zh-CN"/>
              </w:rPr>
              <w:t>4</w:t>
            </w:r>
            <w:r>
              <w:rPr>
                <w:rFonts w:hint="eastAsia" w:ascii="Times New Roman" w:hAnsi="Times New Roman"/>
                <w:szCs w:val="21"/>
              </w:rPr>
              <w:t>、项目负责人、技术负责人证书证明材料要求：投标人应提供有效的职称证的扫描件。</w:t>
            </w:r>
          </w:p>
          <w:p w14:paraId="449B3CE6">
            <w:pPr>
              <w:spacing w:line="360" w:lineRule="auto"/>
              <w:jc w:val="left"/>
              <w:rPr>
                <w:rFonts w:hint="eastAsia" w:ascii="Times New Roman" w:hAnsi="Times New Roman" w:eastAsia="黑体"/>
                <w:szCs w:val="21"/>
                <w:lang w:eastAsia="zh-CN"/>
              </w:rPr>
            </w:pPr>
            <w:r>
              <w:rPr>
                <w:rFonts w:hint="eastAsia" w:ascii="Times New Roman" w:hAnsi="Times New Roman"/>
                <w:szCs w:val="21"/>
                <w:lang w:val="en-US" w:eastAsia="zh-CN"/>
              </w:rPr>
              <w:t>5</w:t>
            </w:r>
            <w:r>
              <w:rPr>
                <w:rFonts w:hint="eastAsia" w:ascii="Times New Roman" w:hAnsi="Times New Roman"/>
                <w:szCs w:val="21"/>
              </w:rPr>
              <w:t>、项目负责人、技术负责人业绩证明材料要求：</w:t>
            </w:r>
            <w:r>
              <w:rPr>
                <w:rFonts w:hint="eastAsia" w:ascii="Times New Roman" w:hAnsi="Times New Roman"/>
                <w:szCs w:val="21"/>
                <w:lang w:eastAsia="zh-CN"/>
              </w:rPr>
              <w:t>上述人员应同时提供相关业绩的合同协议书、发包人（或委托人）出具的标有履约完成时间的证明材料的扫描件，</w:t>
            </w:r>
            <w:r>
              <w:rPr>
                <w:rFonts w:hint="eastAsia" w:ascii="Times New Roman" w:hAnsi="Times New Roman" w:eastAsia="黑体"/>
                <w:szCs w:val="21"/>
                <w:lang w:eastAsia="zh-CN"/>
              </w:rPr>
              <w:t>且上述材料应体现资格审查条件要求的技术指标和人员任职情况，否则该业绩将不予认可。</w:t>
            </w:r>
          </w:p>
          <w:p w14:paraId="0684A8C9">
            <w:pPr>
              <w:spacing w:line="360" w:lineRule="auto"/>
              <w:jc w:val="left"/>
              <w:rPr>
                <w:rFonts w:hint="eastAsia" w:ascii="Times New Roman" w:hAnsi="Times New Roman"/>
                <w:szCs w:val="21"/>
              </w:rPr>
            </w:pPr>
            <w:r>
              <w:rPr>
                <w:rFonts w:hint="eastAsia" w:ascii="Times New Roman" w:hAnsi="Times New Roman"/>
                <w:szCs w:val="21"/>
                <w:lang w:val="en-US" w:eastAsia="zh-CN"/>
              </w:rPr>
              <w:t>6</w:t>
            </w:r>
            <w:r>
              <w:rPr>
                <w:rFonts w:hint="eastAsia" w:ascii="Times New Roman" w:hAnsi="Times New Roman"/>
                <w:szCs w:val="21"/>
              </w:rPr>
              <w:t>、投标人还需提供上述主要人员 2026 年 1 月份（含 2026 年 1 月份）以来投标人所属社保机构出具的任意连续三个月社保缴费证明或其他能够证明主要人员参加社保的有效证明材料扫描件。</w:t>
            </w:r>
          </w:p>
          <w:p w14:paraId="3B81CD6D">
            <w:pPr>
              <w:spacing w:line="360" w:lineRule="auto"/>
              <w:jc w:val="left"/>
              <w:rPr>
                <w:rFonts w:hint="eastAsia" w:ascii="Times New Roman" w:hAnsi="Times New Roman"/>
                <w:szCs w:val="21"/>
              </w:rPr>
            </w:pPr>
            <w:r>
              <w:rPr>
                <w:rFonts w:hint="eastAsia" w:ascii="Times New Roman" w:hAnsi="Times New Roman"/>
                <w:szCs w:val="21"/>
                <w:lang w:val="en-US" w:eastAsia="zh-CN"/>
              </w:rPr>
              <w:t>7</w:t>
            </w:r>
            <w:r>
              <w:rPr>
                <w:rFonts w:hint="eastAsia" w:ascii="Times New Roman" w:hAnsi="Times New Roman"/>
                <w:szCs w:val="21"/>
              </w:rPr>
              <w:t>、近5年，为</w:t>
            </w:r>
            <w:r>
              <w:rPr>
                <w:rFonts w:hint="eastAsia" w:ascii="Times New Roman" w:hAnsi="Times New Roman"/>
                <w:szCs w:val="21"/>
                <w:lang w:eastAsia="zh-CN"/>
              </w:rPr>
              <w:t>2021年</w:t>
            </w:r>
            <w:r>
              <w:rPr>
                <w:rFonts w:hint="eastAsia" w:ascii="Times New Roman" w:hAnsi="Times New Roman"/>
                <w:szCs w:val="21"/>
              </w:rPr>
              <w:t>1月1日至投标截止日期前一日，</w:t>
            </w:r>
            <w:r>
              <w:rPr>
                <w:rFonts w:hint="eastAsia" w:ascii="Times New Roman" w:hAnsi="Times New Roman"/>
                <w:szCs w:val="21"/>
                <w:lang w:eastAsia="zh-CN"/>
              </w:rPr>
              <w:t>以发包人(或委托人)出具的证明材料中载明的项目完成时间为准</w:t>
            </w:r>
            <w:r>
              <w:rPr>
                <w:rFonts w:hint="eastAsia" w:ascii="Times New Roman" w:hAnsi="Times New Roman"/>
                <w:szCs w:val="21"/>
              </w:rPr>
              <w:t>。</w:t>
            </w:r>
          </w:p>
          <w:p w14:paraId="3B22F535">
            <w:pPr>
              <w:spacing w:line="360" w:lineRule="auto"/>
              <w:jc w:val="left"/>
              <w:rPr>
                <w:rFonts w:hint="eastAsia" w:ascii="Times New Roman" w:hAnsi="Times New Roman"/>
                <w:szCs w:val="21"/>
                <w:highlight w:val="white"/>
              </w:rPr>
            </w:pPr>
            <w:r>
              <w:rPr>
                <w:rFonts w:hint="eastAsia" w:ascii="Times New Roman" w:hAnsi="Times New Roman" w:eastAsia="宋体" w:cs="Times New Roman"/>
                <w:szCs w:val="21"/>
                <w:highlight w:val="none"/>
                <w:lang w:val="en-US" w:eastAsia="zh-CN"/>
              </w:rPr>
              <w:t>8、高边坡是指：根据《公路路基设计规范》（JTG D30—2015），路基填土边坡高度大于20m的高路堤，土质挖方边坡高度大于20m或岩石挖方边坡高度大于30m的深路堑。</w:t>
            </w:r>
          </w:p>
        </w:tc>
      </w:tr>
      <w:tr w14:paraId="7ECB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1C19B55E">
            <w:pPr>
              <w:spacing w:line="360" w:lineRule="auto"/>
              <w:jc w:val="center"/>
              <w:rPr>
                <w:rFonts w:hint="eastAsia" w:ascii="Times New Roman" w:hAnsi="Times New Roman" w:eastAsia="宋体"/>
                <w:szCs w:val="21"/>
                <w:highlight w:val="white"/>
                <w:lang w:eastAsia="zh-CN"/>
              </w:rPr>
            </w:pPr>
            <w:r>
              <w:rPr>
                <w:rFonts w:ascii="Times New Roman" w:hAnsi="Times New Roman"/>
                <w:szCs w:val="21"/>
                <w:highlight w:val="white"/>
              </w:rPr>
              <w:t>1</w:t>
            </w:r>
            <w:r>
              <w:rPr>
                <w:rFonts w:hint="eastAsia" w:ascii="Times New Roman" w:hAnsi="Times New Roman"/>
                <w:szCs w:val="21"/>
                <w:highlight w:val="white"/>
                <w:lang w:val="en-US" w:eastAsia="zh-CN"/>
              </w:rPr>
              <w:t>4</w:t>
            </w:r>
          </w:p>
        </w:tc>
        <w:tc>
          <w:tcPr>
            <w:tcW w:w="1509" w:type="dxa"/>
            <w:vMerge w:val="continue"/>
            <w:noWrap w:val="0"/>
            <w:vAlign w:val="center"/>
          </w:tcPr>
          <w:p w14:paraId="245D17C2">
            <w:pPr>
              <w:spacing w:line="360" w:lineRule="auto"/>
              <w:jc w:val="left"/>
              <w:rPr>
                <w:rFonts w:ascii="Times New Roman" w:hAnsi="Times New Roman"/>
                <w:szCs w:val="21"/>
                <w:highlight w:val="white"/>
              </w:rPr>
            </w:pPr>
          </w:p>
        </w:tc>
        <w:tc>
          <w:tcPr>
            <w:tcW w:w="1509" w:type="dxa"/>
            <w:noWrap w:val="0"/>
            <w:vAlign w:val="center"/>
          </w:tcPr>
          <w:p w14:paraId="046417BD">
            <w:pPr>
              <w:spacing w:line="360" w:lineRule="auto"/>
              <w:jc w:val="left"/>
              <w:rPr>
                <w:rFonts w:ascii="Times New Roman" w:hAnsi="Times New Roman"/>
                <w:szCs w:val="21"/>
                <w:highlight w:val="white"/>
              </w:rPr>
            </w:pPr>
            <w:r>
              <w:rPr>
                <w:rFonts w:eastAsia="宋体"/>
                <w:sz w:val="21"/>
              </w:rPr>
              <w:t>不得</w:t>
            </w:r>
            <w:r>
              <w:rPr>
                <w:rFonts w:hint="eastAsia" w:ascii="Times New Roman" w:hAnsi="Times New Roman"/>
                <w:szCs w:val="21"/>
                <w:highlight w:val="white"/>
              </w:rPr>
              <w:t>存在的其他情形（一）</w:t>
            </w:r>
          </w:p>
        </w:tc>
        <w:tc>
          <w:tcPr>
            <w:tcW w:w="4986" w:type="dxa"/>
            <w:noWrap w:val="0"/>
            <w:vAlign w:val="center"/>
          </w:tcPr>
          <w:p w14:paraId="2CA48A67">
            <w:pPr>
              <w:spacing w:line="360" w:lineRule="auto"/>
              <w:rPr>
                <w:rFonts w:ascii="Times New Roman" w:hAnsi="Times New Roman"/>
                <w:b/>
                <w:bCs/>
                <w:szCs w:val="21"/>
              </w:rPr>
            </w:pPr>
            <w:r>
              <w:rPr>
                <w:rFonts w:ascii="Times New Roman" w:hAnsi="Times New Roman"/>
                <w:b/>
                <w:bCs/>
                <w:szCs w:val="21"/>
              </w:rPr>
              <w:t>投标人出现以下任一情形均属于重大偏差：</w:t>
            </w:r>
          </w:p>
          <w:p w14:paraId="304966B5">
            <w:pPr>
              <w:spacing w:line="360" w:lineRule="auto"/>
              <w:rPr>
                <w:rFonts w:hint="eastAsia" w:ascii="Times New Roman" w:hAnsi="Times New Roman"/>
                <w:szCs w:val="21"/>
              </w:rPr>
            </w:pPr>
            <w:r>
              <w:rPr>
                <w:rFonts w:hint="eastAsia" w:ascii="Times New Roman" w:hAnsi="Times New Roman"/>
                <w:szCs w:val="21"/>
              </w:rPr>
              <w:t>（1）为招标人不具有独立法人资格的附属机构(单位)；</w:t>
            </w:r>
          </w:p>
          <w:p w14:paraId="684193E4">
            <w:pPr>
              <w:spacing w:line="360" w:lineRule="auto"/>
              <w:rPr>
                <w:rFonts w:hint="eastAsia" w:ascii="Times New Roman" w:hAnsi="Times New Roman"/>
                <w:szCs w:val="21"/>
              </w:rPr>
            </w:pPr>
            <w:r>
              <w:rPr>
                <w:rFonts w:hint="eastAsia" w:ascii="Times New Roman" w:hAnsi="Times New Roman"/>
                <w:szCs w:val="21"/>
              </w:rPr>
              <w:t>（2）与招标人存在利害关系且可能影响招标公正性；</w:t>
            </w:r>
          </w:p>
          <w:p w14:paraId="095692B9">
            <w:pPr>
              <w:spacing w:line="360" w:lineRule="auto"/>
              <w:rPr>
                <w:rFonts w:hint="eastAsia" w:ascii="Times New Roman" w:hAnsi="Times New Roman"/>
                <w:szCs w:val="21"/>
              </w:rPr>
            </w:pPr>
            <w:r>
              <w:rPr>
                <w:rFonts w:hint="eastAsia" w:ascii="Times New Roman" w:hAnsi="Times New Roman"/>
                <w:szCs w:val="21"/>
              </w:rPr>
              <w:t>（3）与本标段的其他投标人同为一个单位负责人</w:t>
            </w:r>
            <w:r>
              <w:rPr>
                <w:rFonts w:hint="eastAsia" w:eastAsia="宋体"/>
                <w:sz w:val="21"/>
              </w:rPr>
              <w:t>（即法定代表人）</w:t>
            </w:r>
            <w:r>
              <w:rPr>
                <w:rFonts w:hint="eastAsia" w:ascii="Times New Roman" w:hAnsi="Times New Roman"/>
                <w:szCs w:val="21"/>
              </w:rPr>
              <w:t>；</w:t>
            </w:r>
          </w:p>
          <w:p w14:paraId="6E86EA2A">
            <w:pPr>
              <w:spacing w:line="360" w:lineRule="auto"/>
              <w:rPr>
                <w:rFonts w:hint="eastAsia" w:ascii="Times New Roman" w:hAnsi="Times New Roman" w:eastAsia="宋体" w:cs="Times New Roman"/>
                <w:szCs w:val="21"/>
              </w:rPr>
            </w:pPr>
            <w:r>
              <w:rPr>
                <w:rFonts w:hint="eastAsia" w:ascii="Times New Roman" w:hAnsi="Times New Roman"/>
                <w:szCs w:val="21"/>
              </w:rPr>
              <w:t>（</w:t>
            </w:r>
            <w:r>
              <w:rPr>
                <w:rFonts w:hint="eastAsia" w:ascii="Times New Roman" w:hAnsi="Times New Roman" w:eastAsia="宋体" w:cs="Times New Roman"/>
                <w:szCs w:val="21"/>
              </w:rPr>
              <w:t>4）与本标段的其他投标人存在控股、管理关系；</w:t>
            </w:r>
          </w:p>
          <w:p w14:paraId="0271E1F0">
            <w:pPr>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（5）为本标段的代建人；</w:t>
            </w:r>
          </w:p>
          <w:p w14:paraId="43C52634">
            <w:pPr>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（6）为本标段的招标代理机构；</w:t>
            </w:r>
          </w:p>
          <w:p w14:paraId="79DF96C4">
            <w:pPr>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w:t>
            </w:r>
            <w:r>
              <w:rPr>
                <w:rFonts w:hint="eastAsia" w:ascii="Times New Roman" w:hAnsi="Times New Roman" w:eastAsia="宋体" w:cs="Times New Roman"/>
                <w:szCs w:val="21"/>
                <w:lang w:val="en-US" w:eastAsia="zh-CN"/>
              </w:rPr>
              <w:t>7</w:t>
            </w:r>
            <w:r>
              <w:rPr>
                <w:rFonts w:hint="eastAsia" w:ascii="Times New Roman" w:hAnsi="Times New Roman" w:eastAsia="宋体" w:cs="Times New Roman"/>
                <w:szCs w:val="21"/>
              </w:rPr>
              <w:t>）与本标段的代建人或招标代理机构同为一个法定代表人；</w:t>
            </w:r>
          </w:p>
          <w:p w14:paraId="72540D3F">
            <w:pPr>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w:t>
            </w:r>
            <w:r>
              <w:rPr>
                <w:rFonts w:hint="eastAsia" w:ascii="Times New Roman" w:hAnsi="Times New Roman" w:eastAsia="宋体" w:cs="Times New Roman"/>
                <w:szCs w:val="21"/>
                <w:lang w:val="en-US" w:eastAsia="zh-CN"/>
              </w:rPr>
              <w:t>8</w:t>
            </w:r>
            <w:r>
              <w:rPr>
                <w:rFonts w:hint="eastAsia" w:ascii="Times New Roman" w:hAnsi="Times New Roman" w:eastAsia="宋体" w:cs="Times New Roman"/>
                <w:szCs w:val="21"/>
              </w:rPr>
              <w:t>）与本标段的代建人或招标代理机构存在控股或参股关系；</w:t>
            </w:r>
          </w:p>
          <w:p w14:paraId="1D07B14B">
            <w:pPr>
              <w:spacing w:line="360" w:lineRule="auto"/>
              <w:rPr>
                <w:rFonts w:hint="eastAsia" w:ascii="Times New Roman" w:hAnsi="Times New Roman" w:eastAsia="宋体"/>
                <w:szCs w:val="21"/>
                <w:lang w:eastAsia="zh-CN"/>
              </w:rPr>
            </w:pPr>
            <w:r>
              <w:rPr>
                <w:rFonts w:hint="eastAsia" w:ascii="Times New Roman" w:hAnsi="Times New Roman" w:eastAsia="宋体" w:cs="Times New Roman"/>
                <w:szCs w:val="21"/>
              </w:rPr>
              <w:t>（9）被依法暂停或取消招标项目所在地的投标资格且处于有效期内</w:t>
            </w:r>
            <w:r>
              <w:rPr>
                <w:rFonts w:hint="eastAsia" w:ascii="Times New Roman" w:hAnsi="Times New Roman" w:eastAsia="宋体" w:cs="Times New Roman"/>
                <w:szCs w:val="21"/>
                <w:lang w:eastAsia="zh-CN"/>
              </w:rPr>
              <w:t>。</w:t>
            </w:r>
          </w:p>
        </w:tc>
      </w:tr>
      <w:tr w14:paraId="0899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jc w:val="center"/>
        </w:trPr>
        <w:tc>
          <w:tcPr>
            <w:tcW w:w="726" w:type="dxa"/>
            <w:noWrap w:val="0"/>
            <w:vAlign w:val="center"/>
          </w:tcPr>
          <w:p w14:paraId="5C33CF5F">
            <w:pPr>
              <w:spacing w:line="360" w:lineRule="auto"/>
              <w:jc w:val="center"/>
              <w:rPr>
                <w:rFonts w:hint="eastAsia" w:ascii="Times New Roman" w:hAnsi="Times New Roman" w:eastAsia="宋体"/>
                <w:szCs w:val="21"/>
                <w:highlight w:val="white"/>
                <w:lang w:eastAsia="zh-CN"/>
              </w:rPr>
            </w:pPr>
            <w:r>
              <w:rPr>
                <w:rFonts w:ascii="Times New Roman" w:hAnsi="Times New Roman"/>
                <w:szCs w:val="21"/>
                <w:highlight w:val="white"/>
              </w:rPr>
              <w:t>1</w:t>
            </w:r>
            <w:r>
              <w:rPr>
                <w:rFonts w:hint="eastAsia" w:ascii="Times New Roman" w:hAnsi="Times New Roman"/>
                <w:szCs w:val="21"/>
                <w:highlight w:val="white"/>
                <w:lang w:val="en-US" w:eastAsia="zh-CN"/>
              </w:rPr>
              <w:t>5</w:t>
            </w:r>
          </w:p>
        </w:tc>
        <w:tc>
          <w:tcPr>
            <w:tcW w:w="1509" w:type="dxa"/>
            <w:vMerge w:val="restart"/>
            <w:noWrap w:val="0"/>
            <w:vAlign w:val="center"/>
          </w:tcPr>
          <w:p w14:paraId="5DC57192">
            <w:pPr>
              <w:spacing w:line="360" w:lineRule="auto"/>
              <w:jc w:val="left"/>
              <w:rPr>
                <w:rFonts w:ascii="Times New Roman" w:hAnsi="Times New Roman"/>
                <w:szCs w:val="21"/>
                <w:highlight w:val="white"/>
              </w:rPr>
            </w:pPr>
            <w:r>
              <w:rPr>
                <w:rFonts w:ascii="Times New Roman" w:hAnsi="Times New Roman"/>
                <w:kern w:val="0"/>
                <w:lang w:bidi="ar"/>
              </w:rPr>
              <w:t>响应性评审标准</w:t>
            </w:r>
          </w:p>
        </w:tc>
        <w:tc>
          <w:tcPr>
            <w:tcW w:w="1509" w:type="dxa"/>
            <w:noWrap w:val="0"/>
            <w:vAlign w:val="center"/>
          </w:tcPr>
          <w:p w14:paraId="49798D8F">
            <w:pPr>
              <w:spacing w:line="360" w:lineRule="auto"/>
              <w:jc w:val="left"/>
              <w:rPr>
                <w:rFonts w:ascii="Times New Roman" w:hAnsi="Times New Roman"/>
                <w:szCs w:val="21"/>
                <w:highlight w:val="white"/>
              </w:rPr>
            </w:pPr>
            <w:r>
              <w:rPr>
                <w:rFonts w:ascii="Times New Roman" w:hAnsi="Times New Roman"/>
                <w:kern w:val="0"/>
                <w:szCs w:val="21"/>
                <w:highlight w:val="none"/>
              </w:rPr>
              <w:t>投标价格</w:t>
            </w:r>
          </w:p>
        </w:tc>
        <w:tc>
          <w:tcPr>
            <w:tcW w:w="4986" w:type="dxa"/>
            <w:noWrap w:val="0"/>
            <w:vAlign w:val="center"/>
          </w:tcPr>
          <w:p w14:paraId="1BCC43D1">
            <w:pPr>
              <w:pStyle w:val="22"/>
              <w:numPr>
                <w:ilvl w:val="0"/>
                <w:numId w:val="0"/>
              </w:numPr>
              <w:rPr>
                <w:rFonts w:ascii="Times New Roman" w:hAnsi="Times New Roman"/>
                <w:szCs w:val="21"/>
              </w:rPr>
            </w:pPr>
            <w:r>
              <w:rPr>
                <w:rFonts w:hint="eastAsia" w:cs="Times New Roman"/>
                <w:kern w:val="2"/>
                <w:sz w:val="21"/>
                <w:szCs w:val="21"/>
                <w:lang w:val="en-US" w:eastAsia="zh-CN" w:bidi="ar-SA"/>
              </w:rPr>
              <w:t>投标人出现</w:t>
            </w:r>
            <w:r>
              <w:rPr>
                <w:rFonts w:hint="eastAsia" w:ascii="Times New Roman" w:hAnsi="Times New Roman"/>
                <w:szCs w:val="21"/>
              </w:rPr>
              <w:t>以下任一情形均属于重大偏差：</w:t>
            </w:r>
          </w:p>
          <w:p w14:paraId="4F574922">
            <w:pPr>
              <w:pStyle w:val="22"/>
              <w:numPr>
                <w:ilvl w:val="0"/>
                <w:numId w:val="0"/>
              </w:numPr>
              <w:ind w:left="0" w:leftChars="0" w:firstLine="0" w:firstLineChars="0"/>
              <w:rPr>
                <w:rFonts w:hint="eastAsia"/>
                <w:szCs w:val="21"/>
              </w:rPr>
            </w:pPr>
            <w:r>
              <w:rPr>
                <w:rFonts w:hint="eastAsia" w:ascii="Times New Roman" w:hAnsi="Times New Roman" w:eastAsia="宋体" w:cs="Times New Roman"/>
                <w:kern w:val="2"/>
                <w:sz w:val="21"/>
                <w:szCs w:val="21"/>
                <w:lang w:val="en-US" w:eastAsia="zh-CN" w:bidi="ar-SA"/>
              </w:rPr>
              <w:t>（</w:t>
            </w:r>
            <w:r>
              <w:rPr>
                <w:rFonts w:hint="eastAsia" w:cs="Times New Roman"/>
                <w:kern w:val="2"/>
                <w:sz w:val="21"/>
                <w:szCs w:val="21"/>
                <w:lang w:val="en-US" w:eastAsia="zh-CN" w:bidi="ar-SA"/>
              </w:rPr>
              <w:t>1</w:t>
            </w:r>
            <w:r>
              <w:rPr>
                <w:rFonts w:hint="eastAsia" w:ascii="Times New Roman" w:hAnsi="Times New Roman" w:eastAsia="宋体" w:cs="Times New Roman"/>
                <w:kern w:val="2"/>
                <w:sz w:val="21"/>
                <w:szCs w:val="21"/>
                <w:lang w:val="en-US" w:eastAsia="zh-CN" w:bidi="ar-SA"/>
              </w:rPr>
              <w:t>）</w:t>
            </w:r>
            <w:r>
              <w:rPr>
                <w:rFonts w:hint="eastAsia"/>
                <w:szCs w:val="21"/>
              </w:rPr>
              <w:t>投标人的投标报价或算术错误修正后的投标报价（如有）超过了本标段（包）的最高投标限价；</w:t>
            </w:r>
          </w:p>
          <w:p w14:paraId="6D05648A">
            <w:pPr>
              <w:pStyle w:val="22"/>
              <w:numPr>
                <w:ilvl w:val="-1"/>
                <w:numId w:val="0"/>
              </w:numPr>
              <w:ind w:left="0" w:leftChars="0" w:firstLine="0" w:firstLineChars="0"/>
              <w:rPr>
                <w:rFonts w:hint="default"/>
                <w:szCs w:val="21"/>
                <w:lang w:val="en-US" w:eastAsia="zh-CN"/>
              </w:rPr>
            </w:pPr>
            <w:r>
              <w:rPr>
                <w:rFonts w:hint="eastAsia"/>
                <w:szCs w:val="21"/>
                <w:lang w:eastAsia="zh-CN"/>
              </w:rPr>
              <w:t>（</w:t>
            </w:r>
            <w:r>
              <w:rPr>
                <w:rFonts w:hint="eastAsia"/>
                <w:szCs w:val="21"/>
                <w:lang w:val="en-US" w:eastAsia="zh-CN"/>
              </w:rPr>
              <w:t>2</w:t>
            </w:r>
            <w:r>
              <w:rPr>
                <w:rFonts w:hint="eastAsia"/>
                <w:szCs w:val="21"/>
                <w:lang w:eastAsia="zh-CN"/>
              </w:rPr>
              <w:t>）</w:t>
            </w:r>
            <w:r>
              <w:rPr>
                <w:rFonts w:hint="default"/>
                <w:szCs w:val="21"/>
              </w:rPr>
              <w:t>投标报价低于最高投标限价的 65％且未按评标委员会要求说明并证明的</w:t>
            </w:r>
            <w:r>
              <w:rPr>
                <w:rFonts w:hint="eastAsia"/>
                <w:szCs w:val="21"/>
                <w:lang w:eastAsia="zh-CN"/>
              </w:rPr>
              <w:t>。</w:t>
            </w:r>
          </w:p>
        </w:tc>
      </w:tr>
      <w:tr w14:paraId="1886D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6" w:type="dxa"/>
            <w:noWrap w:val="0"/>
            <w:vAlign w:val="center"/>
          </w:tcPr>
          <w:p w14:paraId="18CB1489">
            <w:pPr>
              <w:spacing w:line="360" w:lineRule="auto"/>
              <w:jc w:val="center"/>
              <w:rPr>
                <w:rFonts w:hint="default" w:ascii="Times New Roman" w:hAnsi="Times New Roman" w:eastAsia="宋体"/>
                <w:szCs w:val="21"/>
                <w:highlight w:val="white"/>
                <w:lang w:val="en-US" w:eastAsia="zh-CN"/>
              </w:rPr>
            </w:pPr>
            <w:r>
              <w:rPr>
                <w:rFonts w:hint="eastAsia" w:ascii="Times New Roman" w:hAnsi="Times New Roman"/>
                <w:szCs w:val="21"/>
                <w:highlight w:val="white"/>
                <w:lang w:val="en-US" w:eastAsia="zh-CN"/>
              </w:rPr>
              <w:t>16</w:t>
            </w:r>
          </w:p>
        </w:tc>
        <w:tc>
          <w:tcPr>
            <w:tcW w:w="1509" w:type="dxa"/>
            <w:vMerge w:val="continue"/>
            <w:noWrap w:val="0"/>
            <w:vAlign w:val="center"/>
          </w:tcPr>
          <w:p w14:paraId="002BA120">
            <w:pPr>
              <w:spacing w:line="360" w:lineRule="auto"/>
              <w:jc w:val="left"/>
              <w:rPr>
                <w:rFonts w:ascii="Times New Roman" w:hAnsi="Times New Roman"/>
                <w:kern w:val="0"/>
                <w:lang w:bidi="ar"/>
              </w:rPr>
            </w:pPr>
          </w:p>
        </w:tc>
        <w:tc>
          <w:tcPr>
            <w:tcW w:w="1509" w:type="dxa"/>
            <w:noWrap w:val="0"/>
            <w:vAlign w:val="center"/>
          </w:tcPr>
          <w:p w14:paraId="7278712F">
            <w:pPr>
              <w:spacing w:line="360" w:lineRule="auto"/>
              <w:jc w:val="left"/>
              <w:rPr>
                <w:rFonts w:ascii="Times New Roman" w:hAnsi="Times New Roman"/>
                <w:kern w:val="0"/>
                <w:szCs w:val="21"/>
                <w:highlight w:val="none"/>
              </w:rPr>
            </w:pPr>
            <w:r>
              <w:rPr>
                <w:rFonts w:ascii="Times New Roman" w:hAnsi="Times New Roman"/>
                <w:szCs w:val="21"/>
                <w:highlight w:val="white"/>
              </w:rPr>
              <w:t>投标保证金</w:t>
            </w:r>
          </w:p>
        </w:tc>
        <w:tc>
          <w:tcPr>
            <w:tcW w:w="4986" w:type="dxa"/>
            <w:noWrap w:val="0"/>
            <w:vAlign w:val="center"/>
          </w:tcPr>
          <w:p w14:paraId="4F5ED482">
            <w:pPr>
              <w:spacing w:line="360" w:lineRule="auto"/>
              <w:rPr>
                <w:rFonts w:ascii="Times New Roman" w:hAnsi="Times New Roman"/>
                <w:b/>
                <w:bCs/>
                <w:szCs w:val="21"/>
              </w:rPr>
            </w:pPr>
            <w:r>
              <w:rPr>
                <w:rFonts w:ascii="Times New Roman" w:hAnsi="Times New Roman"/>
                <w:b/>
                <w:bCs/>
                <w:szCs w:val="21"/>
              </w:rPr>
              <w:t>采用现金形式递交的存在以下任一情形属于重大偏差：</w:t>
            </w:r>
          </w:p>
          <w:p w14:paraId="62DDB446">
            <w:pPr>
              <w:spacing w:line="360" w:lineRule="auto"/>
              <w:rPr>
                <w:rFonts w:ascii="Times New Roman" w:hAnsi="Times New Roman"/>
                <w:szCs w:val="21"/>
              </w:rPr>
            </w:pPr>
            <w:r>
              <w:rPr>
                <w:rFonts w:ascii="Times New Roman" w:hAnsi="Times New Roman"/>
                <w:szCs w:val="21"/>
              </w:rPr>
              <w:t>（1）投标保证金未从投标人基本账户转出；</w:t>
            </w:r>
          </w:p>
          <w:p w14:paraId="5FB83596">
            <w:pPr>
              <w:spacing w:line="360" w:lineRule="auto"/>
              <w:rPr>
                <w:rFonts w:ascii="Times New Roman" w:hAnsi="Times New Roman"/>
                <w:szCs w:val="21"/>
              </w:rPr>
            </w:pPr>
            <w:r>
              <w:rPr>
                <w:rFonts w:ascii="Times New Roman" w:hAnsi="Times New Roman"/>
                <w:szCs w:val="21"/>
              </w:rPr>
              <w:t>（2）投标保证金未在投标截止时间前一次性足额汇至招标人指定的账户。</w:t>
            </w:r>
          </w:p>
          <w:p w14:paraId="55D4B2E4">
            <w:pPr>
              <w:spacing w:line="360" w:lineRule="auto"/>
              <w:rPr>
                <w:rFonts w:ascii="Times New Roman" w:hAnsi="Times New Roman"/>
                <w:szCs w:val="21"/>
              </w:rPr>
            </w:pPr>
            <w:r>
              <w:rPr>
                <w:rFonts w:ascii="Times New Roman" w:hAnsi="Times New Roman"/>
                <w:szCs w:val="21"/>
              </w:rPr>
              <w:t>采用电子银行保函、电子担保保函、电子保险保单方式递交的存在以下任一情形属于重大偏差：</w:t>
            </w:r>
          </w:p>
          <w:p w14:paraId="7FF300FF">
            <w:pPr>
              <w:spacing w:line="360" w:lineRule="auto"/>
              <w:rPr>
                <w:rFonts w:ascii="Times New Roman" w:hAnsi="Times New Roman"/>
                <w:szCs w:val="21"/>
              </w:rPr>
            </w:pPr>
            <w:r>
              <w:rPr>
                <w:rFonts w:ascii="Times New Roman" w:hAnsi="Times New Roman"/>
                <w:szCs w:val="21"/>
              </w:rPr>
              <w:t>（1）保函或保单受益人（招标人）、标段名称、标段编号、担保内容、担保金额、保函或保单有效期信息不符合招标文件规定；</w:t>
            </w:r>
          </w:p>
          <w:p w14:paraId="2CD3CB55">
            <w:pPr>
              <w:spacing w:line="360" w:lineRule="auto"/>
              <w:rPr>
                <w:rFonts w:ascii="Times New Roman" w:hAnsi="Times New Roman"/>
                <w:szCs w:val="21"/>
              </w:rPr>
            </w:pPr>
            <w:r>
              <w:rPr>
                <w:rFonts w:ascii="Times New Roman" w:hAnsi="Times New Roman"/>
                <w:szCs w:val="21"/>
              </w:rPr>
              <w:t>（2）在投标截止时间前未提交投标保证金。</w:t>
            </w:r>
          </w:p>
        </w:tc>
      </w:tr>
      <w:tr w14:paraId="28C10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3" w:hRule="atLeast"/>
          <w:jc w:val="center"/>
        </w:trPr>
        <w:tc>
          <w:tcPr>
            <w:tcW w:w="726" w:type="dxa"/>
            <w:noWrap w:val="0"/>
            <w:vAlign w:val="center"/>
          </w:tcPr>
          <w:p w14:paraId="1ED74E18">
            <w:pPr>
              <w:spacing w:line="360" w:lineRule="auto"/>
              <w:jc w:val="center"/>
              <w:rPr>
                <w:rFonts w:hint="default" w:ascii="Times New Roman" w:hAnsi="Times New Roman" w:eastAsia="宋体"/>
                <w:szCs w:val="21"/>
                <w:highlight w:val="white"/>
                <w:lang w:val="en-US" w:eastAsia="zh-CN"/>
              </w:rPr>
            </w:pPr>
            <w:r>
              <w:rPr>
                <w:rFonts w:hint="eastAsia" w:ascii="Times New Roman" w:hAnsi="Times New Roman"/>
                <w:szCs w:val="21"/>
                <w:highlight w:val="white"/>
                <w:lang w:val="en-US" w:eastAsia="zh-CN"/>
              </w:rPr>
              <w:t>17</w:t>
            </w:r>
          </w:p>
        </w:tc>
        <w:tc>
          <w:tcPr>
            <w:tcW w:w="1509" w:type="dxa"/>
            <w:vMerge w:val="continue"/>
            <w:noWrap w:val="0"/>
            <w:vAlign w:val="center"/>
          </w:tcPr>
          <w:p w14:paraId="7AAF09C0">
            <w:pPr>
              <w:spacing w:line="360" w:lineRule="auto"/>
              <w:jc w:val="left"/>
              <w:rPr>
                <w:rFonts w:ascii="Times New Roman" w:hAnsi="Times New Roman"/>
                <w:szCs w:val="21"/>
                <w:highlight w:val="white"/>
              </w:rPr>
            </w:pPr>
          </w:p>
        </w:tc>
        <w:tc>
          <w:tcPr>
            <w:tcW w:w="1509" w:type="dxa"/>
            <w:noWrap w:val="0"/>
            <w:vAlign w:val="center"/>
          </w:tcPr>
          <w:p w14:paraId="63620B94">
            <w:pPr>
              <w:spacing w:line="360" w:lineRule="auto"/>
              <w:jc w:val="left"/>
              <w:rPr>
                <w:rFonts w:ascii="Times New Roman" w:hAnsi="Times New Roman"/>
                <w:szCs w:val="21"/>
                <w:highlight w:val="white"/>
              </w:rPr>
            </w:pPr>
            <w:r>
              <w:rPr>
                <w:rFonts w:ascii="Times New Roman" w:hAnsi="Times New Roman"/>
                <w:szCs w:val="21"/>
              </w:rPr>
              <w:t>投标人不得存在的其他情形</w:t>
            </w:r>
            <w:r>
              <w:rPr>
                <w:rFonts w:hint="eastAsia" w:ascii="Times New Roman" w:hAnsi="Times New Roman"/>
                <w:szCs w:val="21"/>
              </w:rPr>
              <w:t>（二）</w:t>
            </w:r>
          </w:p>
        </w:tc>
        <w:tc>
          <w:tcPr>
            <w:tcW w:w="4986" w:type="dxa"/>
            <w:noWrap w:val="0"/>
            <w:vAlign w:val="center"/>
          </w:tcPr>
          <w:p w14:paraId="5E99CB65">
            <w:pPr>
              <w:spacing w:line="360" w:lineRule="auto"/>
              <w:rPr>
                <w:rFonts w:ascii="Times New Roman" w:hAnsi="Times New Roman"/>
                <w:szCs w:val="21"/>
              </w:rPr>
            </w:pPr>
            <w:r>
              <w:rPr>
                <w:rFonts w:ascii="Times New Roman" w:hAnsi="Times New Roman"/>
                <w:szCs w:val="21"/>
              </w:rPr>
              <w:t>投标人存在以下任一情形</w:t>
            </w:r>
            <w:r>
              <w:rPr>
                <w:rFonts w:hint="eastAsia" w:ascii="Times New Roman" w:hAnsi="Times New Roman"/>
                <w:szCs w:val="21"/>
                <w:lang w:val="en-US" w:eastAsia="zh-CN"/>
              </w:rPr>
              <w:t>均属于重大偏差</w:t>
            </w:r>
            <w:r>
              <w:rPr>
                <w:rFonts w:ascii="Times New Roman" w:hAnsi="Times New Roman"/>
                <w:szCs w:val="21"/>
              </w:rPr>
              <w:t>：</w:t>
            </w:r>
          </w:p>
          <w:p w14:paraId="390FD4B1">
            <w:pPr>
              <w:spacing w:line="360" w:lineRule="auto"/>
              <w:rPr>
                <w:rFonts w:hint="eastAsia" w:ascii="Times New Roman" w:hAnsi="Times New Roman"/>
                <w:szCs w:val="21"/>
              </w:rPr>
            </w:pPr>
            <w:r>
              <w:rPr>
                <w:rFonts w:hint="eastAsia" w:ascii="Times New Roman" w:hAnsi="Times New Roman"/>
                <w:szCs w:val="21"/>
              </w:rPr>
              <w:t>（1）在本次招标活动中，存在串通投标、弄虚作假、行贿等违法行为的；</w:t>
            </w:r>
          </w:p>
          <w:p w14:paraId="50E87DF6">
            <w:pPr>
              <w:spacing w:line="360" w:lineRule="auto"/>
              <w:rPr>
                <w:rFonts w:hint="eastAsia" w:ascii="Times New Roman" w:hAnsi="Times New Roman"/>
                <w:szCs w:val="21"/>
              </w:rPr>
            </w:pPr>
            <w:r>
              <w:rPr>
                <w:rFonts w:hint="eastAsia" w:ascii="Times New Roman" w:hAnsi="Times New Roman"/>
                <w:szCs w:val="21"/>
              </w:rPr>
              <w:t>（2）在本次招标活动中，不按评标委员会要求澄清、说明或补正的；</w:t>
            </w:r>
          </w:p>
          <w:p w14:paraId="592EC0BA">
            <w:pPr>
              <w:spacing w:line="360" w:lineRule="auto"/>
              <w:rPr>
                <w:rFonts w:hint="eastAsia" w:ascii="Times New Roman" w:hAnsi="Times New Roman"/>
                <w:szCs w:val="21"/>
              </w:rPr>
            </w:pPr>
            <w:r>
              <w:rPr>
                <w:rFonts w:hint="eastAsia" w:ascii="Times New Roman" w:hAnsi="Times New Roman"/>
                <w:szCs w:val="21"/>
              </w:rPr>
              <w:t>（3）在本次招标活动中，经湖北省公共资源交易平台评标系统检测出与其他投标人制作投标文件的文件创建标识码一致的；</w:t>
            </w:r>
          </w:p>
          <w:p w14:paraId="301D4CEA">
            <w:pPr>
              <w:spacing w:line="360" w:lineRule="auto"/>
              <w:rPr>
                <w:rFonts w:ascii="Times New Roman" w:hAnsi="Times New Roman"/>
                <w:szCs w:val="21"/>
                <w:highlight w:val="white"/>
              </w:rPr>
            </w:pPr>
            <w:r>
              <w:rPr>
                <w:rFonts w:hint="eastAsia" w:ascii="Times New Roman" w:hAnsi="Times New Roman"/>
                <w:szCs w:val="21"/>
              </w:rPr>
              <w:t>（4）在本次招标活动中，经湖北省公共资源交易平台评标系统检测出与其他投标人制作投标文件的件制作机器码一致的。</w:t>
            </w:r>
          </w:p>
        </w:tc>
      </w:tr>
      <w:tr w14:paraId="325F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30" w:type="dxa"/>
            <w:gridSpan w:val="4"/>
            <w:noWrap w:val="0"/>
            <w:vAlign w:val="center"/>
          </w:tcPr>
          <w:p w14:paraId="4691AEAF">
            <w:pPr>
              <w:spacing w:line="360" w:lineRule="auto"/>
              <w:jc w:val="left"/>
              <w:rPr>
                <w:rFonts w:ascii="Times New Roman" w:hAnsi="Times New Roman"/>
                <w:szCs w:val="21"/>
                <w:highlight w:val="white"/>
              </w:rPr>
            </w:pPr>
            <w:r>
              <w:rPr>
                <w:rFonts w:hint="eastAsia" w:ascii="Times New Roman" w:hAnsi="Times New Roman"/>
                <w:szCs w:val="21"/>
                <w:highlight w:val="white"/>
              </w:rPr>
              <w:t>1、投标人存在本表中被列入重大偏差认定的情况，其投标应当被否决；2、投标人出现未在本表中被列入重大偏差认定情况的偏差情形，不属于重大偏差，按细微偏差处理；3、评标委员会不得因细微偏差否决投标。</w:t>
            </w:r>
          </w:p>
        </w:tc>
      </w:tr>
    </w:tbl>
    <w:p w14:paraId="29B3FD4C">
      <w:pPr>
        <w:spacing w:line="360" w:lineRule="auto"/>
        <w:jc w:val="left"/>
        <w:rPr>
          <w:rFonts w:ascii="Times New Roman" w:hAnsi="Times New Roman" w:eastAsia="黑体"/>
          <w:szCs w:val="21"/>
        </w:rPr>
      </w:pPr>
      <w:r>
        <w:rPr>
          <w:rFonts w:ascii="Times New Roman" w:hAnsi="Times New Roman" w:eastAsia="黑体"/>
          <w:szCs w:val="21"/>
        </w:rPr>
        <w:t>备注:“在所投标段免费下载招标文件”是指投标人拟参加某标段投标的，应按规定下载该标段的招标文件。投标人的下载活动“省电子交易平台”将予以记录，并可在“下载情况查询”中查看，该记录作为投标人是否下载该标段招标文件的依据。</w:t>
      </w:r>
    </w:p>
    <w:p w14:paraId="5F03831A">
      <w:pPr>
        <w:spacing w:line="360" w:lineRule="auto"/>
        <w:jc w:val="center"/>
        <w:outlineLvl w:val="1"/>
        <w:rPr>
          <w:rFonts w:ascii="Times New Roman" w:hAnsi="Times New Roman" w:eastAsia="宋体" w:cs="Times New Roman"/>
          <w:b/>
          <w:bCs/>
          <w:sz w:val="24"/>
          <w:szCs w:val="24"/>
          <w:highlight w:val="yellow"/>
        </w:rPr>
      </w:pPr>
      <w:r>
        <w:rPr>
          <w:rFonts w:ascii="Times New Roman" w:hAnsi="Times New Roman" w:eastAsia="黑体"/>
          <w:szCs w:val="21"/>
        </w:rPr>
        <w:br w:type="page"/>
      </w:r>
      <w:bookmarkStart w:id="39" w:name="_Toc18154"/>
      <w:bookmarkStart w:id="40" w:name="_Toc15502"/>
      <w:r>
        <w:rPr>
          <w:rFonts w:ascii="Times New Roman" w:hAnsi="Times New Roman" w:eastAsia="宋体" w:cs="Times New Roman"/>
          <w:b/>
          <w:bCs/>
          <w:sz w:val="24"/>
          <w:szCs w:val="24"/>
          <w:highlight w:val="none"/>
        </w:rPr>
        <w:t>附录</w:t>
      </w:r>
      <w:r>
        <w:rPr>
          <w:rFonts w:hint="default" w:ascii="Times New Roman" w:hAnsi="Times New Roman" w:eastAsia="宋体" w:cs="Times New Roman"/>
          <w:b/>
          <w:bCs/>
          <w:sz w:val="24"/>
          <w:szCs w:val="24"/>
          <w:highlight w:val="none"/>
          <w:lang w:val="en-US" w:eastAsia="zh-CN"/>
        </w:rPr>
        <w:t>6</w:t>
      </w:r>
      <w:r>
        <w:rPr>
          <w:rFonts w:ascii="Times New Roman" w:hAnsi="Times New Roman" w:eastAsia="宋体" w:cs="Times New Roman"/>
          <w:b/>
          <w:bCs/>
          <w:sz w:val="24"/>
          <w:szCs w:val="24"/>
          <w:highlight w:val="none"/>
        </w:rPr>
        <w:t xml:space="preserve">  </w:t>
      </w:r>
      <w:bookmarkEnd w:id="39"/>
      <w:bookmarkEnd w:id="40"/>
      <w:r>
        <w:rPr>
          <w:rFonts w:hint="eastAsia" w:ascii="Times New Roman" w:hAnsi="Times New Roman" w:eastAsia="宋体" w:cs="Times New Roman"/>
          <w:b/>
          <w:bCs/>
          <w:sz w:val="24"/>
          <w:szCs w:val="24"/>
          <w:highlight w:val="none"/>
          <w:lang w:eastAsia="zh-CN"/>
        </w:rPr>
        <w:t>高边坡</w:t>
      </w:r>
      <w:r>
        <w:rPr>
          <w:rFonts w:hint="eastAsia" w:ascii="Times New Roman" w:hAnsi="Times New Roman" w:eastAsia="宋体" w:cs="Times New Roman"/>
          <w:b/>
          <w:bCs/>
          <w:sz w:val="24"/>
          <w:szCs w:val="24"/>
          <w:highlight w:val="none"/>
        </w:rPr>
        <w:t>监测</w:t>
      </w:r>
      <w:r>
        <w:rPr>
          <w:rFonts w:hint="eastAsia" w:ascii="Times New Roman" w:hAnsi="Times New Roman" w:cs="Times New Roman"/>
          <w:b/>
          <w:bCs/>
          <w:sz w:val="24"/>
          <w:szCs w:val="24"/>
          <w:highlight w:val="none"/>
          <w:lang w:val="en-US" w:eastAsia="zh-CN"/>
        </w:rPr>
        <w:t>数量</w:t>
      </w:r>
      <w:r>
        <w:rPr>
          <w:rFonts w:hint="eastAsia" w:ascii="Times New Roman" w:hAnsi="Times New Roman" w:eastAsia="宋体" w:cs="Times New Roman"/>
          <w:b/>
          <w:bCs/>
          <w:sz w:val="24"/>
          <w:szCs w:val="24"/>
          <w:highlight w:val="none"/>
        </w:rPr>
        <w:t>统计表</w:t>
      </w:r>
    </w:p>
    <w:bookmarkEnd w:id="38"/>
    <w:tbl>
      <w:tblPr>
        <w:tblStyle w:val="24"/>
        <w:tblpPr w:leftFromText="180" w:rightFromText="180" w:vertAnchor="text" w:horzAnchor="page" w:tblpX="995" w:tblpY="472"/>
        <w:tblOverlap w:val="never"/>
        <w:tblW w:w="10484" w:type="dxa"/>
        <w:tblInd w:w="0" w:type="dxa"/>
        <w:tblLayout w:type="fixed"/>
        <w:tblCellMar>
          <w:top w:w="0" w:type="dxa"/>
          <w:left w:w="108" w:type="dxa"/>
          <w:bottom w:w="0" w:type="dxa"/>
          <w:right w:w="108" w:type="dxa"/>
        </w:tblCellMar>
      </w:tblPr>
      <w:tblGrid>
        <w:gridCol w:w="635"/>
        <w:gridCol w:w="2960"/>
        <w:gridCol w:w="884"/>
        <w:gridCol w:w="736"/>
        <w:gridCol w:w="655"/>
        <w:gridCol w:w="763"/>
        <w:gridCol w:w="720"/>
        <w:gridCol w:w="480"/>
        <w:gridCol w:w="587"/>
        <w:gridCol w:w="695"/>
        <w:gridCol w:w="723"/>
        <w:gridCol w:w="646"/>
      </w:tblGrid>
      <w:tr w14:paraId="052980E7">
        <w:tblPrEx>
          <w:tblCellMar>
            <w:top w:w="0" w:type="dxa"/>
            <w:left w:w="108" w:type="dxa"/>
            <w:bottom w:w="0" w:type="dxa"/>
            <w:right w:w="108" w:type="dxa"/>
          </w:tblCellMar>
        </w:tblPrEx>
        <w:trPr>
          <w:trHeight w:val="656" w:hRule="atLeast"/>
        </w:trPr>
        <w:tc>
          <w:tcPr>
            <w:tcW w:w="635" w:type="dxa"/>
            <w:vMerge w:val="restart"/>
            <w:tcBorders>
              <w:top w:val="single" w:color="auto" w:sz="8" w:space="0"/>
              <w:left w:val="single" w:color="auto" w:sz="8" w:space="0"/>
              <w:right w:val="single" w:color="auto" w:sz="8" w:space="0"/>
            </w:tcBorders>
            <w:noWrap/>
            <w:vAlign w:val="center"/>
          </w:tcPr>
          <w:p w14:paraId="337FC58E">
            <w:pPr>
              <w:widowControl/>
              <w:spacing w:line="240" w:lineRule="auto"/>
              <w:ind w:firstLine="0" w:firstLineChars="0"/>
              <w:jc w:val="center"/>
              <w:rPr>
                <w:rFonts w:cs="Times New Roman"/>
                <w:b/>
                <w:bCs/>
                <w:color w:val="000000"/>
                <w:kern w:val="0"/>
                <w:sz w:val="22"/>
                <w:szCs w:val="22"/>
              </w:rPr>
            </w:pPr>
            <w:bookmarkStart w:id="41" w:name="_Toc24494"/>
            <w:bookmarkStart w:id="42" w:name="_Toc140053095"/>
            <w:bookmarkStart w:id="43" w:name="_Toc256000002"/>
            <w:r>
              <w:rPr>
                <w:rFonts w:cs="Times New Roman"/>
                <w:b/>
                <w:bCs/>
                <w:color w:val="000000"/>
                <w:kern w:val="0"/>
                <w:sz w:val="22"/>
                <w:szCs w:val="22"/>
              </w:rPr>
              <w:t>序号</w:t>
            </w:r>
          </w:p>
        </w:tc>
        <w:tc>
          <w:tcPr>
            <w:tcW w:w="2960" w:type="dxa"/>
            <w:vMerge w:val="restart"/>
            <w:tcBorders>
              <w:top w:val="single" w:color="auto" w:sz="8" w:space="0"/>
              <w:left w:val="single" w:color="auto" w:sz="8" w:space="0"/>
              <w:right w:val="single" w:color="auto" w:sz="8" w:space="0"/>
            </w:tcBorders>
            <w:noWrap/>
            <w:vAlign w:val="center"/>
          </w:tcPr>
          <w:p w14:paraId="26F44C37">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高边坡部位及桩号</w:t>
            </w:r>
          </w:p>
        </w:tc>
        <w:tc>
          <w:tcPr>
            <w:tcW w:w="6889" w:type="dxa"/>
            <w:gridSpan w:val="10"/>
            <w:tcBorders>
              <w:top w:val="single" w:color="auto" w:sz="8" w:space="0"/>
              <w:left w:val="single" w:color="auto" w:sz="8" w:space="0"/>
              <w:bottom w:val="single" w:color="auto" w:sz="8" w:space="0"/>
              <w:right w:val="single" w:color="auto" w:sz="8" w:space="0"/>
            </w:tcBorders>
            <w:vAlign w:val="center"/>
          </w:tcPr>
          <w:p w14:paraId="5FAA1E01">
            <w:pPr>
              <w:widowControl/>
              <w:spacing w:line="240" w:lineRule="auto"/>
              <w:ind w:firstLine="0" w:firstLineChars="0"/>
              <w:jc w:val="center"/>
              <w:rPr>
                <w:rFonts w:hint="eastAsia" w:eastAsia="宋体" w:cs="Times New Roman"/>
                <w:b/>
                <w:bCs/>
                <w:color w:val="000000"/>
                <w:kern w:val="0"/>
                <w:sz w:val="22"/>
                <w:szCs w:val="22"/>
                <w:lang w:val="en-US" w:eastAsia="zh-CN"/>
              </w:rPr>
            </w:pPr>
            <w:r>
              <w:rPr>
                <w:rFonts w:hint="eastAsia" w:cs="Times New Roman"/>
                <w:b/>
                <w:bCs/>
                <w:color w:val="000000"/>
                <w:kern w:val="0"/>
                <w:sz w:val="22"/>
                <w:szCs w:val="22"/>
                <w:lang w:val="en-US" w:eastAsia="zh-CN"/>
              </w:rPr>
              <w:t>工程量（个）</w:t>
            </w:r>
          </w:p>
        </w:tc>
      </w:tr>
      <w:tr w14:paraId="089E09B3">
        <w:tblPrEx>
          <w:tblCellMar>
            <w:top w:w="0" w:type="dxa"/>
            <w:left w:w="108" w:type="dxa"/>
            <w:bottom w:w="0" w:type="dxa"/>
            <w:right w:w="108" w:type="dxa"/>
          </w:tblCellMar>
        </w:tblPrEx>
        <w:trPr>
          <w:trHeight w:val="1077" w:hRule="atLeast"/>
        </w:trPr>
        <w:tc>
          <w:tcPr>
            <w:tcW w:w="635" w:type="dxa"/>
            <w:vMerge w:val="continue"/>
            <w:tcBorders>
              <w:left w:val="single" w:color="auto" w:sz="8" w:space="0"/>
              <w:right w:val="single" w:color="auto" w:sz="8" w:space="0"/>
            </w:tcBorders>
            <w:noWrap/>
            <w:vAlign w:val="center"/>
          </w:tcPr>
          <w:p w14:paraId="08627108">
            <w:pPr>
              <w:widowControl/>
              <w:spacing w:line="240" w:lineRule="auto"/>
              <w:ind w:firstLine="0" w:firstLineChars="0"/>
              <w:jc w:val="center"/>
              <w:rPr>
                <w:rFonts w:cs="Times New Roman"/>
                <w:b/>
                <w:bCs/>
                <w:color w:val="000000"/>
                <w:kern w:val="0"/>
                <w:sz w:val="22"/>
                <w:szCs w:val="22"/>
              </w:rPr>
            </w:pPr>
          </w:p>
        </w:tc>
        <w:tc>
          <w:tcPr>
            <w:tcW w:w="2960" w:type="dxa"/>
            <w:vMerge w:val="continue"/>
            <w:tcBorders>
              <w:left w:val="single" w:color="auto" w:sz="8" w:space="0"/>
              <w:right w:val="single" w:color="auto" w:sz="8" w:space="0"/>
            </w:tcBorders>
            <w:noWrap/>
            <w:vAlign w:val="center"/>
          </w:tcPr>
          <w:p w14:paraId="300F1906">
            <w:pPr>
              <w:widowControl/>
              <w:spacing w:line="240" w:lineRule="auto"/>
              <w:ind w:firstLine="0" w:firstLineChars="0"/>
              <w:jc w:val="center"/>
              <w:rPr>
                <w:rFonts w:cs="Times New Roman"/>
                <w:b/>
                <w:bCs/>
                <w:color w:val="000000"/>
                <w:kern w:val="0"/>
                <w:sz w:val="22"/>
                <w:szCs w:val="22"/>
              </w:rPr>
            </w:pPr>
          </w:p>
        </w:tc>
        <w:tc>
          <w:tcPr>
            <w:tcW w:w="884" w:type="dxa"/>
            <w:tcBorders>
              <w:top w:val="single" w:color="auto" w:sz="8" w:space="0"/>
              <w:left w:val="single" w:color="auto" w:sz="8" w:space="0"/>
              <w:bottom w:val="single" w:color="auto" w:sz="8" w:space="0"/>
              <w:right w:val="single" w:color="auto" w:sz="8" w:space="0"/>
            </w:tcBorders>
            <w:vAlign w:val="center"/>
          </w:tcPr>
          <w:p w14:paraId="2A7C0F87">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GNSS</w:t>
            </w:r>
          </w:p>
        </w:tc>
        <w:tc>
          <w:tcPr>
            <w:tcW w:w="736" w:type="dxa"/>
            <w:tcBorders>
              <w:top w:val="single" w:color="auto" w:sz="8" w:space="0"/>
              <w:left w:val="single" w:color="auto" w:sz="8" w:space="0"/>
              <w:bottom w:val="single" w:color="auto" w:sz="8" w:space="0"/>
              <w:right w:val="single" w:color="auto" w:sz="8" w:space="0"/>
            </w:tcBorders>
            <w:vAlign w:val="center"/>
          </w:tcPr>
          <w:p w14:paraId="22CFE83E">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基站</w:t>
            </w:r>
          </w:p>
        </w:tc>
        <w:tc>
          <w:tcPr>
            <w:tcW w:w="655" w:type="dxa"/>
            <w:tcBorders>
              <w:top w:val="single" w:color="auto" w:sz="8" w:space="0"/>
              <w:left w:val="single" w:color="auto" w:sz="8" w:space="0"/>
              <w:bottom w:val="single" w:color="auto" w:sz="8" w:space="0"/>
              <w:right w:val="single" w:color="auto" w:sz="8" w:space="0"/>
            </w:tcBorders>
            <w:vAlign w:val="center"/>
          </w:tcPr>
          <w:p w14:paraId="5D48F0BF">
            <w:pPr>
              <w:spacing w:line="240" w:lineRule="auto"/>
              <w:ind w:firstLine="0" w:firstLineChars="0"/>
              <w:jc w:val="center"/>
              <w:rPr>
                <w:rFonts w:cs="Times New Roman"/>
                <w:b/>
                <w:bCs/>
                <w:color w:val="000000"/>
                <w:kern w:val="0"/>
                <w:sz w:val="22"/>
                <w:szCs w:val="22"/>
              </w:rPr>
            </w:pPr>
            <w:r>
              <w:rPr>
                <w:rFonts w:hint="eastAsia" w:cs="Times New Roman"/>
                <w:b/>
                <w:bCs/>
                <w:color w:val="000000"/>
                <w:kern w:val="0"/>
                <w:sz w:val="22"/>
                <w:szCs w:val="22"/>
              </w:rPr>
              <w:t>雷达</w:t>
            </w:r>
          </w:p>
        </w:tc>
        <w:tc>
          <w:tcPr>
            <w:tcW w:w="763" w:type="dxa"/>
            <w:tcBorders>
              <w:top w:val="single" w:color="auto" w:sz="8" w:space="0"/>
              <w:left w:val="single" w:color="auto" w:sz="8" w:space="0"/>
              <w:bottom w:val="single" w:color="auto" w:sz="8" w:space="0"/>
              <w:right w:val="single" w:color="auto" w:sz="8" w:space="0"/>
            </w:tcBorders>
            <w:vAlign w:val="center"/>
          </w:tcPr>
          <w:p w14:paraId="1DBEF658">
            <w:pPr>
              <w:spacing w:line="240" w:lineRule="auto"/>
              <w:ind w:firstLine="0" w:firstLineChars="0"/>
              <w:jc w:val="center"/>
              <w:rPr>
                <w:rFonts w:cs="Times New Roman"/>
                <w:b/>
                <w:bCs/>
                <w:color w:val="000000"/>
                <w:kern w:val="0"/>
                <w:sz w:val="22"/>
                <w:szCs w:val="22"/>
              </w:rPr>
            </w:pPr>
            <w:r>
              <w:rPr>
                <w:rFonts w:hint="eastAsia" w:cs="Times New Roman"/>
                <w:b/>
                <w:bCs/>
                <w:color w:val="000000"/>
                <w:kern w:val="0"/>
                <w:sz w:val="22"/>
                <w:szCs w:val="22"/>
              </w:rPr>
              <w:t>视觉</w:t>
            </w:r>
            <w:r>
              <w:rPr>
                <w:rFonts w:cs="Times New Roman"/>
                <w:b/>
                <w:bCs/>
                <w:color w:val="000000"/>
                <w:kern w:val="0"/>
                <w:sz w:val="22"/>
                <w:szCs w:val="22"/>
              </w:rPr>
              <w:t>位移</w:t>
            </w:r>
          </w:p>
        </w:tc>
        <w:tc>
          <w:tcPr>
            <w:tcW w:w="720" w:type="dxa"/>
            <w:tcBorders>
              <w:top w:val="single" w:color="auto" w:sz="8" w:space="0"/>
              <w:left w:val="single" w:color="auto" w:sz="8" w:space="0"/>
              <w:bottom w:val="single" w:color="auto" w:sz="8" w:space="0"/>
              <w:right w:val="single" w:color="auto" w:sz="8" w:space="0"/>
            </w:tcBorders>
            <w:vAlign w:val="center"/>
          </w:tcPr>
          <w:p w14:paraId="72F08187">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裂缝计</w:t>
            </w:r>
          </w:p>
        </w:tc>
        <w:tc>
          <w:tcPr>
            <w:tcW w:w="480" w:type="dxa"/>
            <w:tcBorders>
              <w:top w:val="single" w:color="auto" w:sz="8" w:space="0"/>
              <w:left w:val="single" w:color="auto" w:sz="8" w:space="0"/>
              <w:bottom w:val="single" w:color="auto" w:sz="8" w:space="0"/>
              <w:right w:val="single" w:color="auto" w:sz="8" w:space="0"/>
            </w:tcBorders>
            <w:vAlign w:val="center"/>
          </w:tcPr>
          <w:p w14:paraId="76FD8FC3">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倾角计</w:t>
            </w:r>
          </w:p>
        </w:tc>
        <w:tc>
          <w:tcPr>
            <w:tcW w:w="587" w:type="dxa"/>
            <w:tcBorders>
              <w:top w:val="single" w:color="auto" w:sz="8" w:space="0"/>
              <w:left w:val="single" w:color="auto" w:sz="8" w:space="0"/>
              <w:bottom w:val="single" w:color="auto" w:sz="8" w:space="0"/>
              <w:right w:val="single" w:color="auto" w:sz="8" w:space="0"/>
            </w:tcBorders>
            <w:vAlign w:val="center"/>
          </w:tcPr>
          <w:p w14:paraId="51C97CE0">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雨量计</w:t>
            </w:r>
          </w:p>
        </w:tc>
        <w:tc>
          <w:tcPr>
            <w:tcW w:w="695" w:type="dxa"/>
            <w:tcBorders>
              <w:top w:val="single" w:color="auto" w:sz="8" w:space="0"/>
              <w:left w:val="single" w:color="auto" w:sz="8" w:space="0"/>
              <w:bottom w:val="single" w:color="auto" w:sz="8" w:space="0"/>
              <w:right w:val="single" w:color="auto" w:sz="8" w:space="0"/>
            </w:tcBorders>
            <w:vAlign w:val="center"/>
          </w:tcPr>
          <w:p w14:paraId="2E7CE6B0">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视频</w:t>
            </w:r>
            <w:r>
              <w:rPr>
                <w:rFonts w:cs="Times New Roman"/>
                <w:b/>
                <w:bCs/>
                <w:color w:val="000000"/>
                <w:kern w:val="0"/>
                <w:sz w:val="22"/>
                <w:szCs w:val="22"/>
              </w:rPr>
              <w:br w:type="textWrapping"/>
            </w:r>
            <w:r>
              <w:rPr>
                <w:rFonts w:cs="Times New Roman"/>
                <w:b/>
                <w:bCs/>
                <w:color w:val="000000"/>
                <w:kern w:val="0"/>
                <w:sz w:val="22"/>
                <w:szCs w:val="22"/>
              </w:rPr>
              <w:t>监控</w:t>
            </w:r>
          </w:p>
        </w:tc>
        <w:tc>
          <w:tcPr>
            <w:tcW w:w="723" w:type="dxa"/>
            <w:tcBorders>
              <w:top w:val="single" w:color="auto" w:sz="8" w:space="0"/>
              <w:left w:val="single" w:color="auto" w:sz="8" w:space="0"/>
              <w:bottom w:val="single" w:color="auto" w:sz="8" w:space="0"/>
              <w:right w:val="single" w:color="auto" w:sz="8" w:space="0"/>
            </w:tcBorders>
            <w:vAlign w:val="center"/>
          </w:tcPr>
          <w:p w14:paraId="5A705EAB">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声光报警器</w:t>
            </w:r>
          </w:p>
        </w:tc>
        <w:tc>
          <w:tcPr>
            <w:tcW w:w="646" w:type="dxa"/>
            <w:tcBorders>
              <w:top w:val="single" w:color="auto" w:sz="8" w:space="0"/>
              <w:left w:val="single" w:color="auto" w:sz="8" w:space="0"/>
              <w:bottom w:val="single" w:color="auto" w:sz="8" w:space="0"/>
              <w:right w:val="single" w:color="auto" w:sz="8" w:space="0"/>
            </w:tcBorders>
            <w:vAlign w:val="center"/>
          </w:tcPr>
          <w:p w14:paraId="4AE4FF37">
            <w:pPr>
              <w:widowControl/>
              <w:spacing w:line="240" w:lineRule="auto"/>
              <w:ind w:firstLine="0" w:firstLineChars="0"/>
              <w:jc w:val="center"/>
              <w:rPr>
                <w:rFonts w:cs="Times New Roman"/>
                <w:b/>
                <w:bCs/>
                <w:color w:val="000000"/>
                <w:kern w:val="0"/>
                <w:sz w:val="22"/>
                <w:szCs w:val="22"/>
              </w:rPr>
            </w:pPr>
            <w:r>
              <w:rPr>
                <w:rFonts w:cs="Times New Roman"/>
                <w:b/>
                <w:bCs/>
                <w:color w:val="000000"/>
                <w:kern w:val="0"/>
                <w:sz w:val="22"/>
                <w:szCs w:val="22"/>
              </w:rPr>
              <w:t>警示牌</w:t>
            </w:r>
          </w:p>
        </w:tc>
      </w:tr>
      <w:tr w14:paraId="7EC74498">
        <w:tblPrEx>
          <w:tblCellMar>
            <w:top w:w="0" w:type="dxa"/>
            <w:left w:w="108" w:type="dxa"/>
            <w:bottom w:w="0" w:type="dxa"/>
            <w:right w:w="108" w:type="dxa"/>
          </w:tblCellMar>
        </w:tblPrEx>
        <w:trPr>
          <w:trHeight w:val="744" w:hRule="atLeast"/>
        </w:trPr>
        <w:tc>
          <w:tcPr>
            <w:tcW w:w="635" w:type="dxa"/>
            <w:tcBorders>
              <w:top w:val="single" w:color="auto" w:sz="8" w:space="0"/>
              <w:left w:val="single" w:color="auto" w:sz="8" w:space="0"/>
              <w:bottom w:val="single" w:color="auto" w:sz="8" w:space="0"/>
              <w:right w:val="single" w:color="auto" w:sz="8" w:space="0"/>
            </w:tcBorders>
            <w:noWrap/>
            <w:vAlign w:val="center"/>
          </w:tcPr>
          <w:p w14:paraId="10084469">
            <w:pPr>
              <w:widowControl/>
              <w:spacing w:line="240" w:lineRule="auto"/>
              <w:ind w:firstLine="0" w:firstLineChars="0"/>
              <w:jc w:val="center"/>
              <w:rPr>
                <w:rFonts w:eastAsia="等线" w:cs="Times New Roman"/>
                <w:color w:val="000000"/>
                <w:kern w:val="0"/>
                <w:sz w:val="22"/>
                <w:szCs w:val="22"/>
              </w:rPr>
            </w:pPr>
            <w:r>
              <w:rPr>
                <w:rFonts w:eastAsia="等线" w:cs="Times New Roman"/>
                <w:color w:val="000000"/>
                <w:kern w:val="0"/>
                <w:sz w:val="22"/>
                <w:szCs w:val="22"/>
              </w:rPr>
              <w:t>1</w:t>
            </w:r>
          </w:p>
        </w:tc>
        <w:tc>
          <w:tcPr>
            <w:tcW w:w="2960" w:type="dxa"/>
            <w:tcBorders>
              <w:top w:val="single" w:color="auto" w:sz="8" w:space="0"/>
              <w:left w:val="single" w:color="auto" w:sz="8" w:space="0"/>
              <w:bottom w:val="single" w:color="auto" w:sz="8" w:space="0"/>
              <w:right w:val="single" w:color="auto" w:sz="8" w:space="0"/>
            </w:tcBorders>
            <w:noWrap/>
            <w:vAlign w:val="center"/>
          </w:tcPr>
          <w:p w14:paraId="4F4AD08D">
            <w:pPr>
              <w:widowControl/>
              <w:spacing w:line="240" w:lineRule="auto"/>
              <w:ind w:firstLine="0" w:firstLineChars="0"/>
              <w:jc w:val="center"/>
              <w:rPr>
                <w:rFonts w:cs="Times New Roman"/>
                <w:color w:val="000000"/>
                <w:kern w:val="0"/>
                <w:sz w:val="22"/>
                <w:szCs w:val="22"/>
              </w:rPr>
            </w:pPr>
            <w:r>
              <w:rPr>
                <w:rFonts w:hint="eastAsia"/>
                <w:sz w:val="22"/>
                <w:szCs w:val="22"/>
              </w:rPr>
              <w:t>ZK23+920-ZK24+060.5段挖方边坡</w:t>
            </w:r>
          </w:p>
        </w:tc>
        <w:tc>
          <w:tcPr>
            <w:tcW w:w="884" w:type="dxa"/>
            <w:tcBorders>
              <w:top w:val="single" w:color="auto" w:sz="8" w:space="0"/>
              <w:left w:val="single" w:color="auto" w:sz="8" w:space="0"/>
              <w:bottom w:val="single" w:color="auto" w:sz="8" w:space="0"/>
              <w:right w:val="single" w:color="auto" w:sz="8" w:space="0"/>
            </w:tcBorders>
            <w:vAlign w:val="center"/>
          </w:tcPr>
          <w:p w14:paraId="3F7F51C9">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11</w:t>
            </w:r>
          </w:p>
        </w:tc>
        <w:tc>
          <w:tcPr>
            <w:tcW w:w="736" w:type="dxa"/>
            <w:tcBorders>
              <w:top w:val="single" w:color="auto" w:sz="8" w:space="0"/>
              <w:left w:val="single" w:color="auto" w:sz="8" w:space="0"/>
              <w:bottom w:val="single" w:color="auto" w:sz="8" w:space="0"/>
              <w:right w:val="single" w:color="auto" w:sz="8" w:space="0"/>
            </w:tcBorders>
            <w:vAlign w:val="center"/>
          </w:tcPr>
          <w:p w14:paraId="3DDB2F40">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1</w:t>
            </w:r>
          </w:p>
        </w:tc>
        <w:tc>
          <w:tcPr>
            <w:tcW w:w="655" w:type="dxa"/>
            <w:tcBorders>
              <w:top w:val="single" w:color="auto" w:sz="8" w:space="0"/>
              <w:left w:val="single" w:color="auto" w:sz="8" w:space="0"/>
              <w:bottom w:val="single" w:color="auto" w:sz="8" w:space="0"/>
              <w:right w:val="single" w:color="auto" w:sz="8" w:space="0"/>
            </w:tcBorders>
            <w:vAlign w:val="center"/>
          </w:tcPr>
          <w:p w14:paraId="12E33FE8">
            <w:pPr>
              <w:widowControl/>
              <w:spacing w:line="240" w:lineRule="auto"/>
              <w:ind w:firstLine="0" w:firstLineChars="0"/>
              <w:jc w:val="center"/>
              <w:rPr>
                <w:rFonts w:cs="Times New Roman"/>
                <w:color w:val="000000"/>
                <w:kern w:val="0"/>
                <w:sz w:val="22"/>
                <w:szCs w:val="22"/>
              </w:rPr>
            </w:pPr>
          </w:p>
        </w:tc>
        <w:tc>
          <w:tcPr>
            <w:tcW w:w="763" w:type="dxa"/>
            <w:tcBorders>
              <w:top w:val="single" w:color="auto" w:sz="8" w:space="0"/>
              <w:left w:val="single" w:color="auto" w:sz="8" w:space="0"/>
              <w:bottom w:val="single" w:color="auto" w:sz="8" w:space="0"/>
              <w:right w:val="single" w:color="auto" w:sz="8" w:space="0"/>
            </w:tcBorders>
            <w:vAlign w:val="center"/>
          </w:tcPr>
          <w:p w14:paraId="01E795BD">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2</w:t>
            </w:r>
          </w:p>
        </w:tc>
        <w:tc>
          <w:tcPr>
            <w:tcW w:w="720" w:type="dxa"/>
            <w:tcBorders>
              <w:top w:val="single" w:color="auto" w:sz="8" w:space="0"/>
              <w:left w:val="single" w:color="auto" w:sz="8" w:space="0"/>
              <w:bottom w:val="single" w:color="auto" w:sz="8" w:space="0"/>
              <w:right w:val="single" w:color="auto" w:sz="8" w:space="0"/>
            </w:tcBorders>
            <w:vAlign w:val="center"/>
          </w:tcPr>
          <w:p w14:paraId="39CECAFB">
            <w:pPr>
              <w:widowControl/>
              <w:spacing w:line="240" w:lineRule="auto"/>
              <w:ind w:firstLine="0" w:firstLineChars="0"/>
              <w:jc w:val="center"/>
              <w:rPr>
                <w:rFonts w:cs="Times New Roman"/>
                <w:color w:val="000000"/>
                <w:kern w:val="0"/>
                <w:sz w:val="22"/>
                <w:szCs w:val="22"/>
              </w:rPr>
            </w:pPr>
          </w:p>
        </w:tc>
        <w:tc>
          <w:tcPr>
            <w:tcW w:w="480" w:type="dxa"/>
            <w:tcBorders>
              <w:top w:val="single" w:color="auto" w:sz="8" w:space="0"/>
              <w:left w:val="single" w:color="auto" w:sz="8" w:space="0"/>
              <w:bottom w:val="single" w:color="auto" w:sz="8" w:space="0"/>
              <w:right w:val="single" w:color="auto" w:sz="8" w:space="0"/>
            </w:tcBorders>
            <w:vAlign w:val="center"/>
          </w:tcPr>
          <w:p w14:paraId="27E5D8CB">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9</w:t>
            </w:r>
          </w:p>
        </w:tc>
        <w:tc>
          <w:tcPr>
            <w:tcW w:w="587" w:type="dxa"/>
            <w:tcBorders>
              <w:top w:val="single" w:color="auto" w:sz="8" w:space="0"/>
              <w:left w:val="single" w:color="auto" w:sz="8" w:space="0"/>
              <w:bottom w:val="single" w:color="auto" w:sz="8" w:space="0"/>
              <w:right w:val="single" w:color="auto" w:sz="8" w:space="0"/>
            </w:tcBorders>
            <w:vAlign w:val="center"/>
          </w:tcPr>
          <w:p w14:paraId="17144C94">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1</w:t>
            </w:r>
          </w:p>
        </w:tc>
        <w:tc>
          <w:tcPr>
            <w:tcW w:w="695" w:type="dxa"/>
            <w:tcBorders>
              <w:top w:val="single" w:color="auto" w:sz="8" w:space="0"/>
              <w:left w:val="single" w:color="auto" w:sz="8" w:space="0"/>
              <w:bottom w:val="single" w:color="auto" w:sz="8" w:space="0"/>
              <w:right w:val="single" w:color="auto" w:sz="8" w:space="0"/>
            </w:tcBorders>
            <w:vAlign w:val="center"/>
          </w:tcPr>
          <w:p w14:paraId="713AA2E9">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2</w:t>
            </w:r>
          </w:p>
        </w:tc>
        <w:tc>
          <w:tcPr>
            <w:tcW w:w="723" w:type="dxa"/>
            <w:tcBorders>
              <w:top w:val="single" w:color="auto" w:sz="8" w:space="0"/>
              <w:left w:val="single" w:color="auto" w:sz="8" w:space="0"/>
              <w:bottom w:val="single" w:color="auto" w:sz="8" w:space="0"/>
              <w:right w:val="single" w:color="auto" w:sz="8" w:space="0"/>
            </w:tcBorders>
            <w:vAlign w:val="center"/>
          </w:tcPr>
          <w:p w14:paraId="2C488329">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3</w:t>
            </w:r>
          </w:p>
        </w:tc>
        <w:tc>
          <w:tcPr>
            <w:tcW w:w="646" w:type="dxa"/>
            <w:tcBorders>
              <w:top w:val="single" w:color="auto" w:sz="8" w:space="0"/>
              <w:left w:val="single" w:color="auto" w:sz="8" w:space="0"/>
              <w:bottom w:val="single" w:color="auto" w:sz="8" w:space="0"/>
              <w:right w:val="single" w:color="auto" w:sz="8" w:space="0"/>
            </w:tcBorders>
            <w:vAlign w:val="center"/>
          </w:tcPr>
          <w:p w14:paraId="31AC97D9">
            <w:pPr>
              <w:widowControl/>
              <w:spacing w:line="240" w:lineRule="auto"/>
              <w:ind w:firstLine="0" w:firstLineChars="0"/>
              <w:jc w:val="center"/>
              <w:rPr>
                <w:rFonts w:cs="Times New Roman"/>
                <w:color w:val="000000"/>
                <w:kern w:val="0"/>
                <w:sz w:val="22"/>
                <w:szCs w:val="22"/>
              </w:rPr>
            </w:pPr>
            <w:r>
              <w:rPr>
                <w:sz w:val="18"/>
                <w:szCs w:val="20"/>
              </w:rPr>
              <w:t>29</w:t>
            </w:r>
          </w:p>
        </w:tc>
      </w:tr>
      <w:tr w14:paraId="189E4C2B">
        <w:tblPrEx>
          <w:tblCellMar>
            <w:top w:w="0" w:type="dxa"/>
            <w:left w:w="108" w:type="dxa"/>
            <w:bottom w:w="0" w:type="dxa"/>
            <w:right w:w="108" w:type="dxa"/>
          </w:tblCellMar>
        </w:tblPrEx>
        <w:trPr>
          <w:trHeight w:val="744" w:hRule="atLeast"/>
        </w:trPr>
        <w:tc>
          <w:tcPr>
            <w:tcW w:w="635" w:type="dxa"/>
            <w:tcBorders>
              <w:top w:val="single" w:color="auto" w:sz="8" w:space="0"/>
              <w:left w:val="single" w:color="auto" w:sz="8" w:space="0"/>
              <w:bottom w:val="single" w:color="auto" w:sz="8" w:space="0"/>
              <w:right w:val="single" w:color="auto" w:sz="8" w:space="0"/>
            </w:tcBorders>
            <w:noWrap/>
            <w:vAlign w:val="center"/>
          </w:tcPr>
          <w:p w14:paraId="2518F113">
            <w:pPr>
              <w:widowControl/>
              <w:spacing w:line="240" w:lineRule="auto"/>
              <w:ind w:firstLine="0" w:firstLineChars="0"/>
              <w:jc w:val="center"/>
              <w:rPr>
                <w:rFonts w:eastAsia="等线" w:cs="Times New Roman"/>
                <w:color w:val="000000"/>
                <w:kern w:val="0"/>
                <w:sz w:val="22"/>
                <w:szCs w:val="22"/>
              </w:rPr>
            </w:pPr>
            <w:r>
              <w:rPr>
                <w:rFonts w:eastAsia="等线" w:cs="Times New Roman"/>
                <w:color w:val="000000"/>
                <w:kern w:val="0"/>
                <w:sz w:val="22"/>
                <w:szCs w:val="22"/>
              </w:rPr>
              <w:t>2</w:t>
            </w:r>
          </w:p>
        </w:tc>
        <w:tc>
          <w:tcPr>
            <w:tcW w:w="2960" w:type="dxa"/>
            <w:tcBorders>
              <w:top w:val="single" w:color="auto" w:sz="8" w:space="0"/>
              <w:left w:val="single" w:color="auto" w:sz="8" w:space="0"/>
              <w:bottom w:val="single" w:color="auto" w:sz="8" w:space="0"/>
              <w:right w:val="single" w:color="auto" w:sz="8" w:space="0"/>
            </w:tcBorders>
            <w:noWrap/>
            <w:vAlign w:val="center"/>
          </w:tcPr>
          <w:p w14:paraId="09E4BEAC">
            <w:pPr>
              <w:widowControl/>
              <w:spacing w:line="240" w:lineRule="auto"/>
              <w:ind w:firstLine="0" w:firstLineChars="0"/>
              <w:jc w:val="center"/>
              <w:rPr>
                <w:rFonts w:cs="Times New Roman"/>
                <w:color w:val="000000"/>
                <w:kern w:val="0"/>
                <w:sz w:val="22"/>
                <w:szCs w:val="22"/>
              </w:rPr>
            </w:pPr>
            <w:r>
              <w:rPr>
                <w:rFonts w:hint="eastAsia"/>
                <w:sz w:val="22"/>
                <w:szCs w:val="22"/>
              </w:rPr>
              <w:t>YK21+353.5-YK21+500.5段路堑边坡</w:t>
            </w:r>
          </w:p>
        </w:tc>
        <w:tc>
          <w:tcPr>
            <w:tcW w:w="884" w:type="dxa"/>
            <w:tcBorders>
              <w:top w:val="single" w:color="auto" w:sz="8" w:space="0"/>
              <w:left w:val="single" w:color="auto" w:sz="8" w:space="0"/>
              <w:bottom w:val="single" w:color="auto" w:sz="8" w:space="0"/>
              <w:right w:val="single" w:color="auto" w:sz="8" w:space="0"/>
            </w:tcBorders>
            <w:vAlign w:val="center"/>
          </w:tcPr>
          <w:p w14:paraId="2A97BCAF">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7</w:t>
            </w:r>
          </w:p>
        </w:tc>
        <w:tc>
          <w:tcPr>
            <w:tcW w:w="736" w:type="dxa"/>
            <w:tcBorders>
              <w:top w:val="single" w:color="auto" w:sz="8" w:space="0"/>
              <w:left w:val="single" w:color="auto" w:sz="8" w:space="0"/>
              <w:bottom w:val="single" w:color="auto" w:sz="8" w:space="0"/>
              <w:right w:val="single" w:color="auto" w:sz="8" w:space="0"/>
            </w:tcBorders>
            <w:vAlign w:val="center"/>
          </w:tcPr>
          <w:p w14:paraId="6281856B">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1</w:t>
            </w:r>
          </w:p>
        </w:tc>
        <w:tc>
          <w:tcPr>
            <w:tcW w:w="655" w:type="dxa"/>
            <w:tcBorders>
              <w:top w:val="single" w:color="auto" w:sz="8" w:space="0"/>
              <w:left w:val="single" w:color="auto" w:sz="8" w:space="0"/>
              <w:bottom w:val="single" w:color="auto" w:sz="8" w:space="0"/>
              <w:right w:val="single" w:color="auto" w:sz="8" w:space="0"/>
            </w:tcBorders>
            <w:vAlign w:val="center"/>
          </w:tcPr>
          <w:p w14:paraId="2752C1E3">
            <w:pPr>
              <w:widowControl/>
              <w:spacing w:line="240" w:lineRule="auto"/>
              <w:ind w:firstLine="0" w:firstLineChars="0"/>
              <w:jc w:val="center"/>
              <w:rPr>
                <w:rFonts w:cs="Times New Roman"/>
                <w:color w:val="000000"/>
                <w:kern w:val="0"/>
                <w:sz w:val="22"/>
                <w:szCs w:val="22"/>
              </w:rPr>
            </w:pPr>
          </w:p>
        </w:tc>
        <w:tc>
          <w:tcPr>
            <w:tcW w:w="763" w:type="dxa"/>
            <w:tcBorders>
              <w:top w:val="single" w:color="auto" w:sz="8" w:space="0"/>
              <w:left w:val="single" w:color="auto" w:sz="8" w:space="0"/>
              <w:bottom w:val="single" w:color="auto" w:sz="8" w:space="0"/>
              <w:right w:val="single" w:color="auto" w:sz="8" w:space="0"/>
            </w:tcBorders>
            <w:vAlign w:val="center"/>
          </w:tcPr>
          <w:p w14:paraId="097FA903">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2</w:t>
            </w:r>
          </w:p>
        </w:tc>
        <w:tc>
          <w:tcPr>
            <w:tcW w:w="720" w:type="dxa"/>
            <w:tcBorders>
              <w:top w:val="single" w:color="auto" w:sz="8" w:space="0"/>
              <w:left w:val="single" w:color="auto" w:sz="8" w:space="0"/>
              <w:bottom w:val="single" w:color="auto" w:sz="8" w:space="0"/>
              <w:right w:val="single" w:color="auto" w:sz="8" w:space="0"/>
            </w:tcBorders>
            <w:vAlign w:val="center"/>
          </w:tcPr>
          <w:p w14:paraId="54874076">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3</w:t>
            </w:r>
          </w:p>
        </w:tc>
        <w:tc>
          <w:tcPr>
            <w:tcW w:w="480" w:type="dxa"/>
            <w:tcBorders>
              <w:top w:val="single" w:color="auto" w:sz="8" w:space="0"/>
              <w:left w:val="single" w:color="auto" w:sz="8" w:space="0"/>
              <w:bottom w:val="single" w:color="auto" w:sz="8" w:space="0"/>
              <w:right w:val="single" w:color="auto" w:sz="8" w:space="0"/>
            </w:tcBorders>
            <w:vAlign w:val="center"/>
          </w:tcPr>
          <w:p w14:paraId="32B5AB67">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8</w:t>
            </w:r>
          </w:p>
        </w:tc>
        <w:tc>
          <w:tcPr>
            <w:tcW w:w="587" w:type="dxa"/>
            <w:tcBorders>
              <w:top w:val="single" w:color="auto" w:sz="8" w:space="0"/>
              <w:left w:val="single" w:color="auto" w:sz="8" w:space="0"/>
              <w:bottom w:val="single" w:color="auto" w:sz="8" w:space="0"/>
              <w:right w:val="single" w:color="auto" w:sz="8" w:space="0"/>
            </w:tcBorders>
            <w:vAlign w:val="center"/>
          </w:tcPr>
          <w:p w14:paraId="603E9382">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1</w:t>
            </w:r>
          </w:p>
        </w:tc>
        <w:tc>
          <w:tcPr>
            <w:tcW w:w="695" w:type="dxa"/>
            <w:tcBorders>
              <w:top w:val="single" w:color="auto" w:sz="8" w:space="0"/>
              <w:left w:val="single" w:color="auto" w:sz="8" w:space="0"/>
              <w:bottom w:val="single" w:color="auto" w:sz="8" w:space="0"/>
              <w:right w:val="single" w:color="auto" w:sz="8" w:space="0"/>
            </w:tcBorders>
            <w:vAlign w:val="center"/>
          </w:tcPr>
          <w:p w14:paraId="1CA73AA8">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2</w:t>
            </w:r>
          </w:p>
        </w:tc>
        <w:tc>
          <w:tcPr>
            <w:tcW w:w="723" w:type="dxa"/>
            <w:tcBorders>
              <w:top w:val="single" w:color="auto" w:sz="8" w:space="0"/>
              <w:left w:val="single" w:color="auto" w:sz="8" w:space="0"/>
              <w:bottom w:val="single" w:color="auto" w:sz="8" w:space="0"/>
              <w:right w:val="single" w:color="auto" w:sz="8" w:space="0"/>
            </w:tcBorders>
            <w:vAlign w:val="center"/>
          </w:tcPr>
          <w:p w14:paraId="59026812">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3</w:t>
            </w:r>
          </w:p>
        </w:tc>
        <w:tc>
          <w:tcPr>
            <w:tcW w:w="646" w:type="dxa"/>
            <w:tcBorders>
              <w:top w:val="single" w:color="auto" w:sz="8" w:space="0"/>
              <w:left w:val="single" w:color="auto" w:sz="8" w:space="0"/>
              <w:bottom w:val="single" w:color="auto" w:sz="8" w:space="0"/>
              <w:right w:val="single" w:color="auto" w:sz="8" w:space="0"/>
            </w:tcBorders>
            <w:vAlign w:val="center"/>
          </w:tcPr>
          <w:p w14:paraId="0F64D124">
            <w:pPr>
              <w:widowControl/>
              <w:spacing w:line="240" w:lineRule="auto"/>
              <w:ind w:firstLine="0" w:firstLineChars="0"/>
              <w:jc w:val="center"/>
              <w:rPr>
                <w:rFonts w:cs="Times New Roman"/>
                <w:color w:val="000000"/>
                <w:kern w:val="0"/>
                <w:sz w:val="22"/>
                <w:szCs w:val="22"/>
              </w:rPr>
            </w:pPr>
            <w:r>
              <w:rPr>
                <w:sz w:val="18"/>
                <w:szCs w:val="20"/>
              </w:rPr>
              <w:t>27</w:t>
            </w:r>
          </w:p>
        </w:tc>
      </w:tr>
      <w:tr w14:paraId="37955888">
        <w:tblPrEx>
          <w:tblCellMar>
            <w:top w:w="0" w:type="dxa"/>
            <w:left w:w="108" w:type="dxa"/>
            <w:bottom w:w="0" w:type="dxa"/>
            <w:right w:w="108" w:type="dxa"/>
          </w:tblCellMar>
        </w:tblPrEx>
        <w:trPr>
          <w:trHeight w:val="744" w:hRule="atLeast"/>
        </w:trPr>
        <w:tc>
          <w:tcPr>
            <w:tcW w:w="635" w:type="dxa"/>
            <w:tcBorders>
              <w:top w:val="single" w:color="auto" w:sz="8" w:space="0"/>
              <w:left w:val="single" w:color="auto" w:sz="8" w:space="0"/>
              <w:bottom w:val="single" w:color="auto" w:sz="8" w:space="0"/>
              <w:right w:val="single" w:color="auto" w:sz="8" w:space="0"/>
            </w:tcBorders>
            <w:noWrap/>
            <w:vAlign w:val="center"/>
          </w:tcPr>
          <w:p w14:paraId="14986D87">
            <w:pPr>
              <w:widowControl/>
              <w:spacing w:line="240" w:lineRule="auto"/>
              <w:ind w:firstLine="0" w:firstLineChars="0"/>
              <w:jc w:val="center"/>
              <w:rPr>
                <w:rFonts w:eastAsia="等线" w:cs="Times New Roman"/>
                <w:color w:val="000000"/>
                <w:kern w:val="0"/>
                <w:sz w:val="22"/>
                <w:szCs w:val="22"/>
              </w:rPr>
            </w:pPr>
            <w:r>
              <w:rPr>
                <w:rFonts w:eastAsia="等线" w:cs="Times New Roman"/>
                <w:color w:val="000000"/>
                <w:kern w:val="0"/>
                <w:sz w:val="22"/>
                <w:szCs w:val="22"/>
              </w:rPr>
              <w:t>3</w:t>
            </w:r>
          </w:p>
        </w:tc>
        <w:tc>
          <w:tcPr>
            <w:tcW w:w="2960" w:type="dxa"/>
            <w:tcBorders>
              <w:top w:val="single" w:color="auto" w:sz="8" w:space="0"/>
              <w:left w:val="single" w:color="auto" w:sz="8" w:space="0"/>
              <w:bottom w:val="single" w:color="auto" w:sz="8" w:space="0"/>
              <w:right w:val="single" w:color="auto" w:sz="8" w:space="0"/>
            </w:tcBorders>
            <w:noWrap/>
            <w:vAlign w:val="center"/>
          </w:tcPr>
          <w:p w14:paraId="43C9EF1C">
            <w:pPr>
              <w:widowControl/>
              <w:spacing w:line="240" w:lineRule="auto"/>
              <w:ind w:firstLine="0" w:firstLineChars="0"/>
              <w:jc w:val="center"/>
              <w:rPr>
                <w:rFonts w:cs="Times New Roman"/>
                <w:color w:val="000000"/>
                <w:kern w:val="0"/>
                <w:sz w:val="22"/>
                <w:szCs w:val="22"/>
              </w:rPr>
            </w:pPr>
            <w:r>
              <w:rPr>
                <w:rFonts w:hint="eastAsia"/>
                <w:sz w:val="22"/>
                <w:szCs w:val="22"/>
              </w:rPr>
              <w:t>YK26+470-YK26+641.5段挖方边坡</w:t>
            </w:r>
          </w:p>
        </w:tc>
        <w:tc>
          <w:tcPr>
            <w:tcW w:w="884" w:type="dxa"/>
            <w:tcBorders>
              <w:top w:val="single" w:color="auto" w:sz="8" w:space="0"/>
              <w:left w:val="single" w:color="auto" w:sz="8" w:space="0"/>
              <w:bottom w:val="single" w:color="auto" w:sz="8" w:space="0"/>
              <w:right w:val="single" w:color="auto" w:sz="8" w:space="0"/>
            </w:tcBorders>
            <w:vAlign w:val="center"/>
          </w:tcPr>
          <w:p w14:paraId="508E1AD4">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3</w:t>
            </w:r>
          </w:p>
        </w:tc>
        <w:tc>
          <w:tcPr>
            <w:tcW w:w="736" w:type="dxa"/>
            <w:tcBorders>
              <w:top w:val="single" w:color="auto" w:sz="8" w:space="0"/>
              <w:left w:val="single" w:color="auto" w:sz="8" w:space="0"/>
              <w:bottom w:val="single" w:color="auto" w:sz="8" w:space="0"/>
              <w:right w:val="single" w:color="auto" w:sz="8" w:space="0"/>
            </w:tcBorders>
            <w:vAlign w:val="center"/>
          </w:tcPr>
          <w:p w14:paraId="614FAAAF">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1</w:t>
            </w:r>
          </w:p>
        </w:tc>
        <w:tc>
          <w:tcPr>
            <w:tcW w:w="655" w:type="dxa"/>
            <w:tcBorders>
              <w:top w:val="single" w:color="auto" w:sz="8" w:space="0"/>
              <w:left w:val="single" w:color="auto" w:sz="8" w:space="0"/>
              <w:bottom w:val="single" w:color="auto" w:sz="8" w:space="0"/>
              <w:right w:val="single" w:color="auto" w:sz="8" w:space="0"/>
            </w:tcBorders>
            <w:vAlign w:val="center"/>
          </w:tcPr>
          <w:p w14:paraId="35F2AC70">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1</w:t>
            </w:r>
          </w:p>
        </w:tc>
        <w:tc>
          <w:tcPr>
            <w:tcW w:w="763" w:type="dxa"/>
            <w:tcBorders>
              <w:top w:val="single" w:color="auto" w:sz="8" w:space="0"/>
              <w:left w:val="single" w:color="auto" w:sz="8" w:space="0"/>
              <w:bottom w:val="single" w:color="auto" w:sz="8" w:space="0"/>
              <w:right w:val="single" w:color="auto" w:sz="8" w:space="0"/>
            </w:tcBorders>
            <w:vAlign w:val="center"/>
          </w:tcPr>
          <w:p w14:paraId="7146D9D4">
            <w:pPr>
              <w:widowControl/>
              <w:spacing w:line="240" w:lineRule="auto"/>
              <w:ind w:firstLine="0" w:firstLineChars="0"/>
              <w:jc w:val="center"/>
              <w:rPr>
                <w:rFonts w:cs="Times New Roman"/>
                <w:color w:val="000000"/>
                <w:kern w:val="0"/>
                <w:sz w:val="22"/>
                <w:szCs w:val="22"/>
              </w:rPr>
            </w:pPr>
          </w:p>
        </w:tc>
        <w:tc>
          <w:tcPr>
            <w:tcW w:w="720" w:type="dxa"/>
            <w:tcBorders>
              <w:top w:val="single" w:color="auto" w:sz="8" w:space="0"/>
              <w:left w:val="single" w:color="auto" w:sz="8" w:space="0"/>
              <w:bottom w:val="single" w:color="auto" w:sz="8" w:space="0"/>
              <w:right w:val="single" w:color="auto" w:sz="8" w:space="0"/>
            </w:tcBorders>
            <w:vAlign w:val="center"/>
          </w:tcPr>
          <w:p w14:paraId="3D25A95F">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1</w:t>
            </w:r>
          </w:p>
        </w:tc>
        <w:tc>
          <w:tcPr>
            <w:tcW w:w="480" w:type="dxa"/>
            <w:tcBorders>
              <w:top w:val="single" w:color="auto" w:sz="8" w:space="0"/>
              <w:left w:val="single" w:color="auto" w:sz="8" w:space="0"/>
              <w:bottom w:val="single" w:color="auto" w:sz="8" w:space="0"/>
              <w:right w:val="single" w:color="auto" w:sz="8" w:space="0"/>
            </w:tcBorders>
            <w:vAlign w:val="center"/>
          </w:tcPr>
          <w:p w14:paraId="5AB21F47">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3</w:t>
            </w:r>
            <w:r>
              <w:rPr>
                <w:rFonts w:cs="Times New Roman"/>
                <w:color w:val="000000"/>
                <w:kern w:val="0"/>
                <w:sz w:val="22"/>
                <w:szCs w:val="22"/>
              </w:rPr>
              <w:t>1</w:t>
            </w:r>
          </w:p>
        </w:tc>
        <w:tc>
          <w:tcPr>
            <w:tcW w:w="587" w:type="dxa"/>
            <w:tcBorders>
              <w:top w:val="single" w:color="auto" w:sz="8" w:space="0"/>
              <w:left w:val="single" w:color="auto" w:sz="8" w:space="0"/>
              <w:bottom w:val="single" w:color="auto" w:sz="8" w:space="0"/>
              <w:right w:val="single" w:color="auto" w:sz="8" w:space="0"/>
            </w:tcBorders>
            <w:vAlign w:val="center"/>
          </w:tcPr>
          <w:p w14:paraId="5FB67966">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1</w:t>
            </w:r>
          </w:p>
        </w:tc>
        <w:tc>
          <w:tcPr>
            <w:tcW w:w="695" w:type="dxa"/>
            <w:tcBorders>
              <w:top w:val="single" w:color="auto" w:sz="8" w:space="0"/>
              <w:left w:val="single" w:color="auto" w:sz="8" w:space="0"/>
              <w:bottom w:val="single" w:color="auto" w:sz="8" w:space="0"/>
              <w:right w:val="single" w:color="auto" w:sz="8" w:space="0"/>
            </w:tcBorders>
            <w:vAlign w:val="center"/>
          </w:tcPr>
          <w:p w14:paraId="68C67CC7">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6</w:t>
            </w:r>
          </w:p>
        </w:tc>
        <w:tc>
          <w:tcPr>
            <w:tcW w:w="723" w:type="dxa"/>
            <w:tcBorders>
              <w:top w:val="single" w:color="auto" w:sz="8" w:space="0"/>
              <w:left w:val="single" w:color="auto" w:sz="8" w:space="0"/>
              <w:bottom w:val="single" w:color="auto" w:sz="8" w:space="0"/>
              <w:right w:val="single" w:color="auto" w:sz="8" w:space="0"/>
            </w:tcBorders>
            <w:vAlign w:val="center"/>
          </w:tcPr>
          <w:p w14:paraId="0570E839">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6</w:t>
            </w:r>
          </w:p>
        </w:tc>
        <w:tc>
          <w:tcPr>
            <w:tcW w:w="646" w:type="dxa"/>
            <w:tcBorders>
              <w:top w:val="single" w:color="auto" w:sz="8" w:space="0"/>
              <w:left w:val="single" w:color="auto" w:sz="8" w:space="0"/>
              <w:bottom w:val="single" w:color="auto" w:sz="8" w:space="0"/>
              <w:right w:val="single" w:color="auto" w:sz="8" w:space="0"/>
            </w:tcBorders>
            <w:vAlign w:val="center"/>
          </w:tcPr>
          <w:p w14:paraId="5FC97316">
            <w:pPr>
              <w:widowControl/>
              <w:spacing w:line="240" w:lineRule="auto"/>
              <w:ind w:firstLine="0" w:firstLineChars="0"/>
              <w:jc w:val="center"/>
              <w:rPr>
                <w:rFonts w:cs="Times New Roman"/>
                <w:color w:val="000000"/>
                <w:kern w:val="0"/>
                <w:sz w:val="22"/>
                <w:szCs w:val="22"/>
              </w:rPr>
            </w:pPr>
            <w:r>
              <w:rPr>
                <w:sz w:val="18"/>
                <w:szCs w:val="20"/>
              </w:rPr>
              <w:t>50</w:t>
            </w:r>
          </w:p>
        </w:tc>
      </w:tr>
      <w:tr w14:paraId="4B4FBF43">
        <w:tblPrEx>
          <w:tblCellMar>
            <w:top w:w="0" w:type="dxa"/>
            <w:left w:w="108" w:type="dxa"/>
            <w:bottom w:w="0" w:type="dxa"/>
            <w:right w:w="108" w:type="dxa"/>
          </w:tblCellMar>
        </w:tblPrEx>
        <w:trPr>
          <w:trHeight w:val="745" w:hRule="atLeast"/>
        </w:trPr>
        <w:tc>
          <w:tcPr>
            <w:tcW w:w="635" w:type="dxa"/>
            <w:tcBorders>
              <w:top w:val="single" w:color="auto" w:sz="8" w:space="0"/>
              <w:left w:val="single" w:color="auto" w:sz="8" w:space="0"/>
              <w:bottom w:val="single" w:color="auto" w:sz="8" w:space="0"/>
              <w:right w:val="single" w:color="auto" w:sz="8" w:space="0"/>
            </w:tcBorders>
            <w:noWrap/>
            <w:vAlign w:val="center"/>
          </w:tcPr>
          <w:p w14:paraId="0C23C26B">
            <w:pPr>
              <w:widowControl/>
              <w:spacing w:line="240" w:lineRule="auto"/>
              <w:ind w:firstLine="0" w:firstLineChars="0"/>
              <w:jc w:val="center"/>
              <w:rPr>
                <w:rFonts w:eastAsia="等线" w:cs="Times New Roman"/>
                <w:color w:val="000000"/>
                <w:kern w:val="0"/>
                <w:sz w:val="22"/>
                <w:szCs w:val="22"/>
              </w:rPr>
            </w:pPr>
            <w:r>
              <w:rPr>
                <w:rFonts w:eastAsia="等线" w:cs="Times New Roman"/>
                <w:color w:val="000000"/>
                <w:kern w:val="0"/>
                <w:sz w:val="22"/>
                <w:szCs w:val="22"/>
              </w:rPr>
              <w:t>4</w:t>
            </w:r>
          </w:p>
        </w:tc>
        <w:tc>
          <w:tcPr>
            <w:tcW w:w="2960" w:type="dxa"/>
            <w:tcBorders>
              <w:top w:val="single" w:color="auto" w:sz="8" w:space="0"/>
              <w:left w:val="single" w:color="auto" w:sz="8" w:space="0"/>
              <w:bottom w:val="single" w:color="auto" w:sz="8" w:space="0"/>
              <w:right w:val="single" w:color="auto" w:sz="8" w:space="0"/>
            </w:tcBorders>
            <w:noWrap/>
            <w:vAlign w:val="center"/>
          </w:tcPr>
          <w:p w14:paraId="564FC17B">
            <w:pPr>
              <w:widowControl/>
              <w:spacing w:line="240" w:lineRule="auto"/>
              <w:ind w:firstLine="0" w:firstLineChars="0"/>
              <w:jc w:val="center"/>
              <w:rPr>
                <w:rFonts w:cs="Times New Roman"/>
                <w:color w:val="000000"/>
                <w:kern w:val="0"/>
                <w:sz w:val="22"/>
                <w:szCs w:val="22"/>
              </w:rPr>
            </w:pPr>
            <w:r>
              <w:rPr>
                <w:rFonts w:hint="eastAsia"/>
                <w:sz w:val="22"/>
                <w:szCs w:val="22"/>
              </w:rPr>
              <w:t>K31+180闯王2号隧道入洞口仰坡</w:t>
            </w:r>
          </w:p>
        </w:tc>
        <w:tc>
          <w:tcPr>
            <w:tcW w:w="884" w:type="dxa"/>
            <w:tcBorders>
              <w:top w:val="single" w:color="auto" w:sz="8" w:space="0"/>
              <w:left w:val="single" w:color="auto" w:sz="8" w:space="0"/>
              <w:bottom w:val="single" w:color="auto" w:sz="8" w:space="0"/>
              <w:right w:val="single" w:color="auto" w:sz="8" w:space="0"/>
            </w:tcBorders>
            <w:vAlign w:val="center"/>
          </w:tcPr>
          <w:p w14:paraId="062406CC">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5</w:t>
            </w:r>
          </w:p>
        </w:tc>
        <w:tc>
          <w:tcPr>
            <w:tcW w:w="736" w:type="dxa"/>
            <w:tcBorders>
              <w:top w:val="single" w:color="auto" w:sz="8" w:space="0"/>
              <w:left w:val="single" w:color="auto" w:sz="8" w:space="0"/>
              <w:bottom w:val="single" w:color="auto" w:sz="8" w:space="0"/>
              <w:right w:val="single" w:color="auto" w:sz="8" w:space="0"/>
            </w:tcBorders>
            <w:vAlign w:val="center"/>
          </w:tcPr>
          <w:p w14:paraId="43CAEC6B">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1</w:t>
            </w:r>
          </w:p>
        </w:tc>
        <w:tc>
          <w:tcPr>
            <w:tcW w:w="655" w:type="dxa"/>
            <w:tcBorders>
              <w:top w:val="single" w:color="auto" w:sz="8" w:space="0"/>
              <w:left w:val="single" w:color="auto" w:sz="8" w:space="0"/>
              <w:bottom w:val="single" w:color="auto" w:sz="8" w:space="0"/>
              <w:right w:val="single" w:color="auto" w:sz="8" w:space="0"/>
            </w:tcBorders>
            <w:vAlign w:val="center"/>
          </w:tcPr>
          <w:p w14:paraId="538D0F64">
            <w:pPr>
              <w:widowControl/>
              <w:spacing w:line="240" w:lineRule="auto"/>
              <w:ind w:firstLine="0" w:firstLineChars="0"/>
              <w:jc w:val="center"/>
              <w:rPr>
                <w:rFonts w:cs="Times New Roman"/>
                <w:color w:val="000000"/>
                <w:kern w:val="0"/>
                <w:sz w:val="22"/>
                <w:szCs w:val="22"/>
              </w:rPr>
            </w:pPr>
          </w:p>
        </w:tc>
        <w:tc>
          <w:tcPr>
            <w:tcW w:w="763" w:type="dxa"/>
            <w:tcBorders>
              <w:top w:val="single" w:color="auto" w:sz="8" w:space="0"/>
              <w:left w:val="single" w:color="auto" w:sz="8" w:space="0"/>
              <w:bottom w:val="single" w:color="auto" w:sz="8" w:space="0"/>
              <w:right w:val="single" w:color="auto" w:sz="8" w:space="0"/>
            </w:tcBorders>
            <w:vAlign w:val="center"/>
          </w:tcPr>
          <w:p w14:paraId="625EF92A">
            <w:pPr>
              <w:widowControl/>
              <w:spacing w:line="240" w:lineRule="auto"/>
              <w:ind w:firstLine="0" w:firstLineChars="0"/>
              <w:jc w:val="center"/>
              <w:rPr>
                <w:rFonts w:cs="Times New Roman"/>
                <w:color w:val="000000"/>
                <w:kern w:val="0"/>
                <w:sz w:val="22"/>
                <w:szCs w:val="22"/>
              </w:rPr>
            </w:pPr>
          </w:p>
        </w:tc>
        <w:tc>
          <w:tcPr>
            <w:tcW w:w="720" w:type="dxa"/>
            <w:tcBorders>
              <w:top w:val="single" w:color="auto" w:sz="8" w:space="0"/>
              <w:left w:val="single" w:color="auto" w:sz="8" w:space="0"/>
              <w:bottom w:val="single" w:color="auto" w:sz="8" w:space="0"/>
              <w:right w:val="single" w:color="auto" w:sz="8" w:space="0"/>
            </w:tcBorders>
            <w:vAlign w:val="center"/>
          </w:tcPr>
          <w:p w14:paraId="5278369C">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1</w:t>
            </w:r>
          </w:p>
        </w:tc>
        <w:tc>
          <w:tcPr>
            <w:tcW w:w="480" w:type="dxa"/>
            <w:tcBorders>
              <w:top w:val="single" w:color="auto" w:sz="8" w:space="0"/>
              <w:left w:val="single" w:color="auto" w:sz="8" w:space="0"/>
              <w:bottom w:val="single" w:color="auto" w:sz="8" w:space="0"/>
              <w:right w:val="single" w:color="auto" w:sz="8" w:space="0"/>
            </w:tcBorders>
            <w:vAlign w:val="center"/>
          </w:tcPr>
          <w:p w14:paraId="44F57CD7">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5</w:t>
            </w:r>
          </w:p>
        </w:tc>
        <w:tc>
          <w:tcPr>
            <w:tcW w:w="587" w:type="dxa"/>
            <w:tcBorders>
              <w:top w:val="single" w:color="auto" w:sz="8" w:space="0"/>
              <w:left w:val="single" w:color="auto" w:sz="8" w:space="0"/>
              <w:bottom w:val="single" w:color="auto" w:sz="8" w:space="0"/>
              <w:right w:val="single" w:color="auto" w:sz="8" w:space="0"/>
            </w:tcBorders>
            <w:vAlign w:val="center"/>
          </w:tcPr>
          <w:p w14:paraId="71D04AAF">
            <w:pPr>
              <w:widowControl/>
              <w:spacing w:line="240" w:lineRule="auto"/>
              <w:ind w:firstLine="0" w:firstLineChars="0"/>
              <w:jc w:val="center"/>
              <w:rPr>
                <w:rFonts w:cs="Times New Roman"/>
                <w:color w:val="000000"/>
                <w:kern w:val="0"/>
                <w:sz w:val="22"/>
                <w:szCs w:val="22"/>
              </w:rPr>
            </w:pPr>
            <w:r>
              <w:rPr>
                <w:rFonts w:hint="eastAsia" w:cs="Times New Roman"/>
                <w:color w:val="000000"/>
                <w:kern w:val="0"/>
                <w:sz w:val="22"/>
                <w:szCs w:val="22"/>
              </w:rPr>
              <w:t>1</w:t>
            </w:r>
          </w:p>
        </w:tc>
        <w:tc>
          <w:tcPr>
            <w:tcW w:w="695" w:type="dxa"/>
            <w:tcBorders>
              <w:top w:val="single" w:color="auto" w:sz="8" w:space="0"/>
              <w:left w:val="single" w:color="auto" w:sz="8" w:space="0"/>
              <w:bottom w:val="single" w:color="auto" w:sz="8" w:space="0"/>
              <w:right w:val="single" w:color="auto" w:sz="8" w:space="0"/>
            </w:tcBorders>
            <w:vAlign w:val="center"/>
          </w:tcPr>
          <w:p w14:paraId="1D433A81">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1</w:t>
            </w:r>
          </w:p>
        </w:tc>
        <w:tc>
          <w:tcPr>
            <w:tcW w:w="723" w:type="dxa"/>
            <w:tcBorders>
              <w:top w:val="single" w:color="auto" w:sz="8" w:space="0"/>
              <w:left w:val="single" w:color="auto" w:sz="8" w:space="0"/>
              <w:bottom w:val="single" w:color="auto" w:sz="8" w:space="0"/>
              <w:right w:val="single" w:color="auto" w:sz="8" w:space="0"/>
            </w:tcBorders>
            <w:vAlign w:val="center"/>
          </w:tcPr>
          <w:p w14:paraId="044ED93A">
            <w:pPr>
              <w:widowControl/>
              <w:spacing w:line="240" w:lineRule="auto"/>
              <w:ind w:firstLine="0" w:firstLineChars="0"/>
              <w:jc w:val="center"/>
              <w:rPr>
                <w:rFonts w:cs="Times New Roman"/>
                <w:color w:val="000000"/>
                <w:kern w:val="0"/>
                <w:sz w:val="22"/>
                <w:szCs w:val="22"/>
              </w:rPr>
            </w:pPr>
            <w:r>
              <w:rPr>
                <w:rFonts w:cs="Times New Roman"/>
                <w:color w:val="000000"/>
                <w:kern w:val="0"/>
                <w:sz w:val="22"/>
                <w:szCs w:val="22"/>
              </w:rPr>
              <w:t>3</w:t>
            </w:r>
          </w:p>
        </w:tc>
        <w:tc>
          <w:tcPr>
            <w:tcW w:w="646" w:type="dxa"/>
            <w:tcBorders>
              <w:top w:val="single" w:color="auto" w:sz="8" w:space="0"/>
              <w:left w:val="single" w:color="auto" w:sz="8" w:space="0"/>
              <w:bottom w:val="single" w:color="auto" w:sz="8" w:space="0"/>
              <w:right w:val="single" w:color="auto" w:sz="8" w:space="0"/>
            </w:tcBorders>
            <w:vAlign w:val="center"/>
          </w:tcPr>
          <w:p w14:paraId="63B831C9">
            <w:pPr>
              <w:widowControl/>
              <w:spacing w:line="240" w:lineRule="auto"/>
              <w:ind w:firstLine="0" w:firstLineChars="0"/>
              <w:jc w:val="center"/>
              <w:rPr>
                <w:rFonts w:cs="Times New Roman"/>
                <w:color w:val="000000"/>
                <w:kern w:val="0"/>
                <w:sz w:val="22"/>
                <w:szCs w:val="22"/>
              </w:rPr>
            </w:pPr>
            <w:r>
              <w:rPr>
                <w:sz w:val="18"/>
                <w:szCs w:val="20"/>
              </w:rPr>
              <w:t>17</w:t>
            </w:r>
          </w:p>
        </w:tc>
      </w:tr>
      <w:tr w14:paraId="500EAFAC">
        <w:tblPrEx>
          <w:tblCellMar>
            <w:top w:w="0" w:type="dxa"/>
            <w:left w:w="108" w:type="dxa"/>
            <w:bottom w:w="0" w:type="dxa"/>
            <w:right w:w="108" w:type="dxa"/>
          </w:tblCellMar>
        </w:tblPrEx>
        <w:trPr>
          <w:trHeight w:val="1074" w:hRule="atLeast"/>
        </w:trPr>
        <w:tc>
          <w:tcPr>
            <w:tcW w:w="3595" w:type="dxa"/>
            <w:gridSpan w:val="2"/>
            <w:tcBorders>
              <w:top w:val="single" w:color="auto" w:sz="8" w:space="0"/>
              <w:left w:val="single" w:color="auto" w:sz="8" w:space="0"/>
              <w:bottom w:val="single" w:color="auto" w:sz="8" w:space="0"/>
              <w:right w:val="single" w:color="auto" w:sz="8" w:space="0"/>
            </w:tcBorders>
            <w:noWrap/>
            <w:vAlign w:val="center"/>
          </w:tcPr>
          <w:p w14:paraId="7A3DEA89">
            <w:pPr>
              <w:widowControl/>
              <w:spacing w:line="240" w:lineRule="auto"/>
              <w:ind w:firstLine="0" w:firstLineChars="0"/>
              <w:jc w:val="center"/>
              <w:rPr>
                <w:rFonts w:cs="Times New Roman"/>
                <w:b/>
                <w:color w:val="000000"/>
                <w:kern w:val="0"/>
                <w:sz w:val="22"/>
                <w:szCs w:val="22"/>
              </w:rPr>
            </w:pPr>
            <w:r>
              <w:rPr>
                <w:rFonts w:cs="Times New Roman"/>
                <w:b/>
                <w:color w:val="000000"/>
                <w:kern w:val="0"/>
                <w:sz w:val="22"/>
                <w:szCs w:val="22"/>
              </w:rPr>
              <w:t>工程数量小计</w:t>
            </w:r>
          </w:p>
        </w:tc>
        <w:tc>
          <w:tcPr>
            <w:tcW w:w="884" w:type="dxa"/>
            <w:tcBorders>
              <w:top w:val="single" w:color="auto" w:sz="8" w:space="0"/>
              <w:left w:val="single" w:color="auto" w:sz="8" w:space="0"/>
              <w:bottom w:val="single" w:color="auto" w:sz="8" w:space="0"/>
              <w:right w:val="single" w:color="auto" w:sz="8" w:space="0"/>
            </w:tcBorders>
            <w:vAlign w:val="center"/>
          </w:tcPr>
          <w:p w14:paraId="53539BEF">
            <w:pPr>
              <w:widowControl/>
              <w:spacing w:line="240" w:lineRule="auto"/>
              <w:ind w:firstLine="0" w:firstLineChars="0"/>
              <w:jc w:val="center"/>
              <w:rPr>
                <w:rFonts w:cs="Times New Roman"/>
                <w:b/>
                <w:bCs/>
                <w:color w:val="000000"/>
                <w:kern w:val="0"/>
                <w:sz w:val="22"/>
                <w:szCs w:val="22"/>
              </w:rPr>
            </w:pPr>
            <w:r>
              <w:rPr>
                <w:b/>
                <w:sz w:val="22"/>
                <w:szCs w:val="20"/>
              </w:rPr>
              <w:t>26</w:t>
            </w:r>
          </w:p>
        </w:tc>
        <w:tc>
          <w:tcPr>
            <w:tcW w:w="736" w:type="dxa"/>
            <w:tcBorders>
              <w:top w:val="single" w:color="auto" w:sz="8" w:space="0"/>
              <w:left w:val="single" w:color="auto" w:sz="8" w:space="0"/>
              <w:bottom w:val="single" w:color="auto" w:sz="8" w:space="0"/>
              <w:right w:val="single" w:color="auto" w:sz="8" w:space="0"/>
            </w:tcBorders>
            <w:vAlign w:val="center"/>
          </w:tcPr>
          <w:p w14:paraId="7F65CD51">
            <w:pPr>
              <w:widowControl/>
              <w:spacing w:line="240" w:lineRule="auto"/>
              <w:ind w:firstLine="0" w:firstLineChars="0"/>
              <w:jc w:val="center"/>
              <w:rPr>
                <w:rFonts w:cs="Times New Roman"/>
                <w:b/>
                <w:bCs/>
                <w:color w:val="000000"/>
                <w:kern w:val="0"/>
                <w:sz w:val="22"/>
                <w:szCs w:val="22"/>
              </w:rPr>
            </w:pPr>
            <w:r>
              <w:rPr>
                <w:b/>
                <w:sz w:val="22"/>
                <w:szCs w:val="20"/>
              </w:rPr>
              <w:t>4</w:t>
            </w:r>
          </w:p>
        </w:tc>
        <w:tc>
          <w:tcPr>
            <w:tcW w:w="655" w:type="dxa"/>
            <w:tcBorders>
              <w:top w:val="single" w:color="auto" w:sz="8" w:space="0"/>
              <w:left w:val="single" w:color="auto" w:sz="8" w:space="0"/>
              <w:bottom w:val="single" w:color="auto" w:sz="8" w:space="0"/>
              <w:right w:val="single" w:color="auto" w:sz="8" w:space="0"/>
            </w:tcBorders>
            <w:vAlign w:val="center"/>
          </w:tcPr>
          <w:p w14:paraId="22280AF6">
            <w:pPr>
              <w:widowControl/>
              <w:spacing w:line="240" w:lineRule="auto"/>
              <w:ind w:firstLine="0" w:firstLineChars="0"/>
              <w:jc w:val="center"/>
              <w:rPr>
                <w:rFonts w:cs="Times New Roman"/>
                <w:b/>
                <w:bCs/>
                <w:color w:val="000000"/>
                <w:kern w:val="0"/>
                <w:sz w:val="22"/>
                <w:szCs w:val="22"/>
              </w:rPr>
            </w:pPr>
            <w:r>
              <w:rPr>
                <w:b/>
                <w:sz w:val="22"/>
                <w:szCs w:val="20"/>
              </w:rPr>
              <w:t>1</w:t>
            </w:r>
          </w:p>
        </w:tc>
        <w:tc>
          <w:tcPr>
            <w:tcW w:w="763" w:type="dxa"/>
            <w:tcBorders>
              <w:top w:val="single" w:color="auto" w:sz="8" w:space="0"/>
              <w:left w:val="single" w:color="auto" w:sz="8" w:space="0"/>
              <w:bottom w:val="single" w:color="auto" w:sz="8" w:space="0"/>
              <w:right w:val="single" w:color="auto" w:sz="8" w:space="0"/>
            </w:tcBorders>
            <w:vAlign w:val="center"/>
          </w:tcPr>
          <w:p w14:paraId="5131B071">
            <w:pPr>
              <w:widowControl/>
              <w:spacing w:line="240" w:lineRule="auto"/>
              <w:ind w:firstLine="0" w:firstLineChars="0"/>
              <w:jc w:val="center"/>
              <w:rPr>
                <w:rFonts w:cs="Times New Roman"/>
                <w:b/>
                <w:bCs/>
                <w:color w:val="000000"/>
                <w:kern w:val="0"/>
                <w:sz w:val="22"/>
                <w:szCs w:val="22"/>
              </w:rPr>
            </w:pPr>
            <w:r>
              <w:rPr>
                <w:b/>
                <w:sz w:val="22"/>
                <w:szCs w:val="20"/>
              </w:rPr>
              <w:t>4</w:t>
            </w:r>
          </w:p>
        </w:tc>
        <w:tc>
          <w:tcPr>
            <w:tcW w:w="720" w:type="dxa"/>
            <w:tcBorders>
              <w:top w:val="single" w:color="auto" w:sz="8" w:space="0"/>
              <w:left w:val="single" w:color="auto" w:sz="8" w:space="0"/>
              <w:bottom w:val="single" w:color="auto" w:sz="8" w:space="0"/>
              <w:right w:val="single" w:color="auto" w:sz="8" w:space="0"/>
            </w:tcBorders>
            <w:vAlign w:val="center"/>
          </w:tcPr>
          <w:p w14:paraId="1B6B2F33">
            <w:pPr>
              <w:widowControl/>
              <w:spacing w:line="240" w:lineRule="auto"/>
              <w:ind w:firstLine="0" w:firstLineChars="0"/>
              <w:jc w:val="center"/>
              <w:rPr>
                <w:rFonts w:cs="Times New Roman"/>
                <w:b/>
                <w:bCs/>
                <w:color w:val="000000"/>
                <w:kern w:val="0"/>
                <w:sz w:val="22"/>
                <w:szCs w:val="22"/>
              </w:rPr>
            </w:pPr>
            <w:r>
              <w:rPr>
                <w:b/>
                <w:sz w:val="22"/>
                <w:szCs w:val="20"/>
              </w:rPr>
              <w:t>5</w:t>
            </w:r>
          </w:p>
        </w:tc>
        <w:tc>
          <w:tcPr>
            <w:tcW w:w="480" w:type="dxa"/>
            <w:tcBorders>
              <w:top w:val="single" w:color="auto" w:sz="8" w:space="0"/>
              <w:left w:val="single" w:color="auto" w:sz="8" w:space="0"/>
              <w:bottom w:val="single" w:color="auto" w:sz="8" w:space="0"/>
              <w:right w:val="single" w:color="auto" w:sz="8" w:space="0"/>
            </w:tcBorders>
            <w:vAlign w:val="center"/>
          </w:tcPr>
          <w:p w14:paraId="4B7FF7A7">
            <w:pPr>
              <w:widowControl/>
              <w:spacing w:line="240" w:lineRule="auto"/>
              <w:ind w:firstLine="0" w:firstLineChars="0"/>
              <w:jc w:val="center"/>
              <w:rPr>
                <w:rFonts w:cs="Times New Roman"/>
                <w:b/>
                <w:bCs/>
                <w:color w:val="000000"/>
                <w:kern w:val="0"/>
                <w:sz w:val="22"/>
                <w:szCs w:val="22"/>
              </w:rPr>
            </w:pPr>
            <w:r>
              <w:rPr>
                <w:b/>
                <w:sz w:val="22"/>
                <w:szCs w:val="20"/>
              </w:rPr>
              <w:t>53</w:t>
            </w:r>
          </w:p>
        </w:tc>
        <w:tc>
          <w:tcPr>
            <w:tcW w:w="587" w:type="dxa"/>
            <w:tcBorders>
              <w:top w:val="single" w:color="auto" w:sz="8" w:space="0"/>
              <w:left w:val="single" w:color="auto" w:sz="8" w:space="0"/>
              <w:bottom w:val="single" w:color="auto" w:sz="8" w:space="0"/>
              <w:right w:val="single" w:color="auto" w:sz="8" w:space="0"/>
            </w:tcBorders>
            <w:vAlign w:val="center"/>
          </w:tcPr>
          <w:p w14:paraId="7C200373">
            <w:pPr>
              <w:widowControl/>
              <w:spacing w:line="240" w:lineRule="auto"/>
              <w:ind w:firstLine="0" w:firstLineChars="0"/>
              <w:jc w:val="center"/>
              <w:rPr>
                <w:rFonts w:cs="Times New Roman"/>
                <w:b/>
                <w:bCs/>
                <w:color w:val="000000"/>
                <w:kern w:val="0"/>
                <w:sz w:val="22"/>
                <w:szCs w:val="22"/>
              </w:rPr>
            </w:pPr>
            <w:r>
              <w:rPr>
                <w:b/>
                <w:sz w:val="22"/>
                <w:szCs w:val="20"/>
              </w:rPr>
              <w:t>4</w:t>
            </w:r>
          </w:p>
        </w:tc>
        <w:tc>
          <w:tcPr>
            <w:tcW w:w="695" w:type="dxa"/>
            <w:tcBorders>
              <w:top w:val="single" w:color="auto" w:sz="8" w:space="0"/>
              <w:left w:val="single" w:color="auto" w:sz="8" w:space="0"/>
              <w:bottom w:val="single" w:color="auto" w:sz="8" w:space="0"/>
              <w:right w:val="single" w:color="auto" w:sz="8" w:space="0"/>
            </w:tcBorders>
            <w:vAlign w:val="center"/>
          </w:tcPr>
          <w:p w14:paraId="0AFF1FB7">
            <w:pPr>
              <w:widowControl/>
              <w:spacing w:line="240" w:lineRule="auto"/>
              <w:ind w:firstLine="0" w:firstLineChars="0"/>
              <w:jc w:val="center"/>
              <w:rPr>
                <w:rFonts w:cs="Times New Roman"/>
                <w:b/>
                <w:bCs/>
                <w:color w:val="000000"/>
                <w:kern w:val="0"/>
                <w:sz w:val="22"/>
                <w:szCs w:val="22"/>
              </w:rPr>
            </w:pPr>
            <w:r>
              <w:rPr>
                <w:b/>
                <w:sz w:val="22"/>
                <w:szCs w:val="20"/>
              </w:rPr>
              <w:t>11</w:t>
            </w:r>
          </w:p>
        </w:tc>
        <w:tc>
          <w:tcPr>
            <w:tcW w:w="723" w:type="dxa"/>
            <w:tcBorders>
              <w:top w:val="single" w:color="auto" w:sz="8" w:space="0"/>
              <w:left w:val="single" w:color="auto" w:sz="8" w:space="0"/>
              <w:bottom w:val="single" w:color="auto" w:sz="8" w:space="0"/>
              <w:right w:val="single" w:color="auto" w:sz="8" w:space="0"/>
            </w:tcBorders>
            <w:vAlign w:val="center"/>
          </w:tcPr>
          <w:p w14:paraId="0FC8FD19">
            <w:pPr>
              <w:widowControl/>
              <w:spacing w:line="240" w:lineRule="auto"/>
              <w:ind w:firstLine="0" w:firstLineChars="0"/>
              <w:jc w:val="center"/>
              <w:rPr>
                <w:rFonts w:cs="Times New Roman"/>
                <w:b/>
                <w:bCs/>
                <w:color w:val="000000"/>
                <w:kern w:val="0"/>
                <w:sz w:val="22"/>
                <w:szCs w:val="22"/>
              </w:rPr>
            </w:pPr>
            <w:r>
              <w:rPr>
                <w:b/>
                <w:sz w:val="22"/>
                <w:szCs w:val="20"/>
              </w:rPr>
              <w:t>15</w:t>
            </w:r>
          </w:p>
        </w:tc>
        <w:tc>
          <w:tcPr>
            <w:tcW w:w="646" w:type="dxa"/>
            <w:tcBorders>
              <w:top w:val="single" w:color="auto" w:sz="8" w:space="0"/>
              <w:left w:val="single" w:color="auto" w:sz="8" w:space="0"/>
              <w:bottom w:val="single" w:color="auto" w:sz="8" w:space="0"/>
              <w:right w:val="single" w:color="auto" w:sz="8" w:space="0"/>
            </w:tcBorders>
            <w:vAlign w:val="center"/>
          </w:tcPr>
          <w:p w14:paraId="23F03B0A">
            <w:pPr>
              <w:widowControl/>
              <w:spacing w:line="240" w:lineRule="auto"/>
              <w:ind w:firstLine="0" w:firstLineChars="0"/>
              <w:jc w:val="center"/>
              <w:rPr>
                <w:rFonts w:cs="Times New Roman"/>
                <w:b/>
                <w:bCs/>
                <w:color w:val="000000"/>
                <w:kern w:val="0"/>
                <w:sz w:val="22"/>
                <w:szCs w:val="22"/>
              </w:rPr>
            </w:pPr>
            <w:r>
              <w:rPr>
                <w:b/>
                <w:sz w:val="22"/>
                <w:szCs w:val="20"/>
              </w:rPr>
              <w:t>123</w:t>
            </w:r>
          </w:p>
        </w:tc>
      </w:tr>
    </w:tbl>
    <w:p w14:paraId="603271D5">
      <w:pPr>
        <w:spacing w:line="240" w:lineRule="auto"/>
        <w:jc w:val="left"/>
        <w:rPr>
          <w:rFonts w:ascii="Times New Roman" w:hAnsi="Times New Roman"/>
          <w:sz w:val="24"/>
          <w:szCs w:val="24"/>
          <w:highlight w:val="none"/>
        </w:rPr>
      </w:pPr>
      <w:r>
        <w:rPr>
          <w:rFonts w:ascii="Times New Roman" w:hAnsi="Times New Roman"/>
          <w:sz w:val="24"/>
          <w:szCs w:val="24"/>
          <w:highlight w:val="none"/>
        </w:rPr>
        <w:br w:type="page"/>
      </w:r>
    </w:p>
    <w:p w14:paraId="7EB49C63">
      <w:pPr>
        <w:keepNext w:val="0"/>
        <w:keepLines w:val="0"/>
        <w:widowControl/>
        <w:spacing w:before="0" w:after="0" w:line="240" w:lineRule="auto"/>
        <w:ind w:firstLine="0" w:firstLineChars="0"/>
        <w:jc w:val="center"/>
        <w:outlineLvl w:val="0"/>
        <w:rPr>
          <w:rFonts w:ascii="Times New Roman" w:hAnsi="Times New Roman" w:eastAsia="宋体" w:cs="Times New Roman"/>
          <w:b/>
          <w:bCs/>
          <w:kern w:val="44"/>
          <w:sz w:val="44"/>
          <w:szCs w:val="44"/>
          <w:highlight w:val="cyan"/>
          <w:lang w:val="en-US" w:eastAsia="zh-CN" w:bidi="ar-SA"/>
        </w:rPr>
      </w:pPr>
      <w:bookmarkStart w:id="44" w:name="_Toc28156"/>
      <w:bookmarkStart w:id="45" w:name="_Toc4976"/>
      <w:r>
        <w:rPr>
          <w:rFonts w:ascii="Times New Roman" w:hAnsi="Times New Roman" w:eastAsia="宋体" w:cs="Times New Roman"/>
          <w:b/>
          <w:bCs/>
          <w:kern w:val="44"/>
          <w:sz w:val="44"/>
          <w:szCs w:val="44"/>
          <w:highlight w:val="white"/>
          <w:lang w:val="en-US" w:eastAsia="zh-CN" w:bidi="ar-SA"/>
        </w:rPr>
        <w:t>第二章 投标人须知</w:t>
      </w:r>
      <w:bookmarkEnd w:id="41"/>
      <w:bookmarkEnd w:id="42"/>
      <w:bookmarkEnd w:id="43"/>
      <w:bookmarkEnd w:id="44"/>
      <w:bookmarkEnd w:id="45"/>
    </w:p>
    <w:p w14:paraId="1DF45FB3">
      <w:pPr>
        <w:keepNext w:val="0"/>
        <w:keepLines w:val="0"/>
        <w:widowControl w:val="0"/>
        <w:spacing w:before="0" w:after="0" w:line="240" w:lineRule="auto"/>
        <w:ind w:firstLine="0" w:firstLineChars="0"/>
        <w:jc w:val="center"/>
        <w:outlineLvl w:val="1"/>
        <w:rPr>
          <w:rFonts w:ascii="Times New Roman" w:hAnsi="Times New Roman" w:eastAsia="黑体" w:cs="Times New Roman"/>
          <w:b/>
          <w:kern w:val="2"/>
          <w:sz w:val="32"/>
          <w:szCs w:val="32"/>
          <w:lang w:val="en-US" w:eastAsia="zh-CN" w:bidi="ar-SA"/>
        </w:rPr>
      </w:pPr>
      <w:bookmarkStart w:id="46" w:name="_Toc28933"/>
      <w:bookmarkStart w:id="47" w:name="_Toc1515"/>
      <w:bookmarkStart w:id="48" w:name="_Toc140053096"/>
      <w:bookmarkStart w:id="49" w:name="_Toc256000003"/>
      <w:bookmarkStart w:id="50" w:name="_Toc7750"/>
      <w:r>
        <w:rPr>
          <w:rFonts w:ascii="Times New Roman" w:hAnsi="Times New Roman" w:eastAsia="黑体" w:cs="Times New Roman"/>
          <w:b/>
          <w:kern w:val="2"/>
          <w:sz w:val="32"/>
          <w:szCs w:val="32"/>
          <w:highlight w:val="white"/>
          <w:lang w:val="en-US" w:eastAsia="zh-CN" w:bidi="ar-SA"/>
        </w:rPr>
        <w:t>投标人须知前附表</w:t>
      </w:r>
      <w:bookmarkEnd w:id="46"/>
      <w:bookmarkEnd w:id="47"/>
      <w:bookmarkEnd w:id="48"/>
      <w:bookmarkEnd w:id="49"/>
      <w:bookmarkEnd w:id="50"/>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2657"/>
        <w:gridCol w:w="4536"/>
      </w:tblGrid>
      <w:tr w14:paraId="20FC9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00F00BB9">
            <w:pPr>
              <w:widowControl w:val="0"/>
              <w:spacing w:line="440" w:lineRule="exact"/>
              <w:ind w:firstLine="0" w:firstLineChars="0"/>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highlight w:val="white"/>
                <w:lang w:val="en-US" w:eastAsia="zh-CN" w:bidi="ar-SA"/>
              </w:rPr>
              <w:t>条款号</w:t>
            </w:r>
          </w:p>
        </w:tc>
        <w:tc>
          <w:tcPr>
            <w:tcW w:w="2657" w:type="dxa"/>
            <w:noWrap w:val="0"/>
            <w:vAlign w:val="top"/>
          </w:tcPr>
          <w:p w14:paraId="1C8A7A66">
            <w:pPr>
              <w:widowControl w:val="0"/>
              <w:spacing w:line="440" w:lineRule="exact"/>
              <w:ind w:firstLine="0" w:firstLineChars="0"/>
              <w:jc w:val="center"/>
              <w:rPr>
                <w:rFonts w:ascii="Times New Roman" w:hAnsi="Times New Roman" w:eastAsia="宋体" w:cs="Times New Roman"/>
                <w:b/>
                <w:kern w:val="2"/>
                <w:sz w:val="21"/>
                <w:szCs w:val="21"/>
                <w:lang w:val="en-US" w:eastAsia="zh-CN" w:bidi="ar-SA"/>
              </w:rPr>
            </w:pPr>
            <w:r>
              <w:rPr>
                <w:rFonts w:ascii="Times New Roman" w:hAnsi="Times New Roman" w:eastAsia="宋体" w:cs="Times New Roman"/>
                <w:b/>
                <w:bCs/>
                <w:kern w:val="2"/>
                <w:sz w:val="21"/>
                <w:szCs w:val="21"/>
                <w:highlight w:val="white"/>
                <w:lang w:val="en-US" w:eastAsia="zh-CN" w:bidi="ar-SA"/>
              </w:rPr>
              <w:t>条款名称</w:t>
            </w:r>
          </w:p>
        </w:tc>
        <w:tc>
          <w:tcPr>
            <w:tcW w:w="4536" w:type="dxa"/>
            <w:noWrap w:val="0"/>
            <w:vAlign w:val="top"/>
          </w:tcPr>
          <w:p w14:paraId="1EDACE46">
            <w:pPr>
              <w:widowControl w:val="0"/>
              <w:spacing w:line="440" w:lineRule="exact"/>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b/>
                <w:bCs/>
                <w:kern w:val="2"/>
                <w:sz w:val="21"/>
                <w:szCs w:val="21"/>
                <w:highlight w:val="white"/>
                <w:lang w:val="en-US" w:eastAsia="zh-CN" w:bidi="ar-SA"/>
              </w:rPr>
              <w:t>编列内容</w:t>
            </w:r>
          </w:p>
        </w:tc>
      </w:tr>
      <w:tr w14:paraId="13E0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4DDB177">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1.1.2</w:t>
            </w:r>
          </w:p>
        </w:tc>
        <w:tc>
          <w:tcPr>
            <w:tcW w:w="2657" w:type="dxa"/>
            <w:noWrap w:val="0"/>
            <w:vAlign w:val="top"/>
          </w:tcPr>
          <w:p w14:paraId="4CDBA4F1">
            <w:pPr>
              <w:spacing w:line="276" w:lineRule="auto"/>
              <w:rPr>
                <w:rFonts w:ascii="Times New Roman" w:hAnsi="Times New Roman"/>
              </w:rPr>
            </w:pPr>
            <w:r>
              <w:rPr>
                <w:rFonts w:ascii="Times New Roman" w:hAnsi="Times New Roman"/>
                <w:highlight w:val="white"/>
              </w:rPr>
              <w:t>招标人</w:t>
            </w:r>
          </w:p>
        </w:tc>
        <w:tc>
          <w:tcPr>
            <w:tcW w:w="4536" w:type="dxa"/>
            <w:noWrap w:val="0"/>
            <w:vAlign w:val="top"/>
          </w:tcPr>
          <w:p w14:paraId="212193F6">
            <w:pPr>
              <w:rPr>
                <w:rFonts w:ascii="Times New Roman" w:hAnsi="Times New Roman"/>
                <w:highlight w:val="green"/>
              </w:rPr>
            </w:pPr>
            <w:bookmarkStart w:id="51" w:name="EBba822a91ed2c4905a35e20172bb6d669"/>
            <w:r>
              <w:rPr>
                <w:rFonts w:ascii="Times New Roman" w:hAnsi="Times New Roman"/>
                <w:color w:val="0000FF"/>
                <w:highlight w:val="white"/>
              </w:rPr>
              <w:t>详见招标公告</w:t>
            </w:r>
            <w:bookmarkEnd w:id="51"/>
          </w:p>
        </w:tc>
      </w:tr>
      <w:tr w14:paraId="3BCE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F697D2B">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1.1.3</w:t>
            </w:r>
          </w:p>
        </w:tc>
        <w:tc>
          <w:tcPr>
            <w:tcW w:w="2657" w:type="dxa"/>
            <w:noWrap w:val="0"/>
            <w:vAlign w:val="top"/>
          </w:tcPr>
          <w:p w14:paraId="726D2244">
            <w:pPr>
              <w:spacing w:line="276" w:lineRule="auto"/>
              <w:rPr>
                <w:rFonts w:ascii="Times New Roman" w:hAnsi="Times New Roman"/>
              </w:rPr>
            </w:pPr>
            <w:r>
              <w:rPr>
                <w:rFonts w:ascii="Times New Roman" w:hAnsi="Times New Roman"/>
                <w:highlight w:val="white"/>
              </w:rPr>
              <w:t>招标代理机构</w:t>
            </w:r>
          </w:p>
        </w:tc>
        <w:tc>
          <w:tcPr>
            <w:tcW w:w="4536" w:type="dxa"/>
            <w:noWrap w:val="0"/>
            <w:vAlign w:val="top"/>
          </w:tcPr>
          <w:p w14:paraId="2A757780">
            <w:pPr>
              <w:rPr>
                <w:rFonts w:ascii="Times New Roman" w:hAnsi="Times New Roman"/>
                <w:highlight w:val="green"/>
              </w:rPr>
            </w:pPr>
            <w:bookmarkStart w:id="52" w:name="EB1d188667ed5b41ff892edc7e01d3cc2b"/>
            <w:r>
              <w:rPr>
                <w:rFonts w:ascii="Times New Roman" w:hAnsi="Times New Roman"/>
                <w:color w:val="0000FF"/>
                <w:highlight w:val="white"/>
              </w:rPr>
              <w:t>详见招标公告</w:t>
            </w:r>
            <w:bookmarkEnd w:id="52"/>
          </w:p>
        </w:tc>
      </w:tr>
      <w:tr w14:paraId="0C01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B4A60D9">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1.1.4</w:t>
            </w:r>
          </w:p>
        </w:tc>
        <w:tc>
          <w:tcPr>
            <w:tcW w:w="2657" w:type="dxa"/>
            <w:noWrap w:val="0"/>
            <w:vAlign w:val="top"/>
          </w:tcPr>
          <w:p w14:paraId="00260DEF">
            <w:pPr>
              <w:spacing w:line="276" w:lineRule="auto"/>
              <w:rPr>
                <w:rFonts w:ascii="Times New Roman" w:hAnsi="Times New Roman"/>
              </w:rPr>
            </w:pPr>
            <w:r>
              <w:rPr>
                <w:rFonts w:ascii="Times New Roman" w:hAnsi="Times New Roman"/>
                <w:highlight w:val="white"/>
              </w:rPr>
              <w:t>招标项目名称</w:t>
            </w:r>
          </w:p>
        </w:tc>
        <w:tc>
          <w:tcPr>
            <w:tcW w:w="4536" w:type="dxa"/>
            <w:noWrap w:val="0"/>
            <w:vAlign w:val="top"/>
          </w:tcPr>
          <w:p w14:paraId="7F6BF77A">
            <w:pPr>
              <w:rPr>
                <w:rFonts w:ascii="Times New Roman" w:hAnsi="Times New Roman"/>
                <w:highlight w:val="green"/>
              </w:rPr>
            </w:pPr>
            <w:bookmarkStart w:id="53" w:name="EBffa44c2e5cca49a7b783ccc6e8e32c67"/>
            <w:r>
              <w:rPr>
                <w:rFonts w:ascii="Times New Roman" w:hAnsi="Times New Roman"/>
                <w:color w:val="0000FF"/>
                <w:highlight w:val="white"/>
              </w:rPr>
              <w:t>详见招标公告</w:t>
            </w:r>
            <w:bookmarkEnd w:id="53"/>
          </w:p>
        </w:tc>
      </w:tr>
      <w:tr w14:paraId="4823B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0E79E148">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1.1.5</w:t>
            </w:r>
          </w:p>
        </w:tc>
        <w:tc>
          <w:tcPr>
            <w:tcW w:w="2657" w:type="dxa"/>
            <w:noWrap w:val="0"/>
            <w:vAlign w:val="top"/>
          </w:tcPr>
          <w:p w14:paraId="7F99F0E9">
            <w:pPr>
              <w:spacing w:line="276" w:lineRule="auto"/>
              <w:rPr>
                <w:rFonts w:ascii="Times New Roman" w:hAnsi="Times New Roman"/>
              </w:rPr>
            </w:pPr>
            <w:r>
              <w:rPr>
                <w:rFonts w:ascii="Times New Roman" w:hAnsi="Times New Roman"/>
                <w:highlight w:val="white"/>
              </w:rPr>
              <w:t>项目建设地点</w:t>
            </w:r>
          </w:p>
        </w:tc>
        <w:tc>
          <w:tcPr>
            <w:tcW w:w="4536" w:type="dxa"/>
            <w:noWrap w:val="0"/>
            <w:vAlign w:val="top"/>
          </w:tcPr>
          <w:p w14:paraId="758E97BE">
            <w:pPr>
              <w:rPr>
                <w:rFonts w:ascii="Times New Roman" w:hAnsi="Times New Roman"/>
                <w:highlight w:val="green"/>
              </w:rPr>
            </w:pPr>
            <w:bookmarkStart w:id="54" w:name="EBfdc1759f421d465daf0c87361491820f"/>
            <w:r>
              <w:rPr>
                <w:rFonts w:ascii="Times New Roman" w:hAnsi="Times New Roman"/>
                <w:color w:val="0000FF"/>
                <w:highlight w:val="white"/>
              </w:rPr>
              <w:t>详见招标公告</w:t>
            </w:r>
            <w:bookmarkEnd w:id="54"/>
          </w:p>
        </w:tc>
      </w:tr>
      <w:tr w14:paraId="3EAF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AEBE50F">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1.1.6</w:t>
            </w:r>
          </w:p>
        </w:tc>
        <w:tc>
          <w:tcPr>
            <w:tcW w:w="2657" w:type="dxa"/>
            <w:noWrap w:val="0"/>
            <w:vAlign w:val="top"/>
          </w:tcPr>
          <w:p w14:paraId="14F6297A">
            <w:pPr>
              <w:spacing w:line="276" w:lineRule="auto"/>
              <w:rPr>
                <w:rFonts w:ascii="Times New Roman" w:hAnsi="Times New Roman"/>
              </w:rPr>
            </w:pPr>
            <w:r>
              <w:rPr>
                <w:rFonts w:ascii="Times New Roman" w:hAnsi="Times New Roman"/>
                <w:highlight w:val="white"/>
              </w:rPr>
              <w:t>项目建设规模</w:t>
            </w:r>
          </w:p>
        </w:tc>
        <w:tc>
          <w:tcPr>
            <w:tcW w:w="4536" w:type="dxa"/>
            <w:noWrap w:val="0"/>
            <w:vAlign w:val="top"/>
          </w:tcPr>
          <w:p w14:paraId="10100B39">
            <w:pPr>
              <w:rPr>
                <w:rFonts w:ascii="Times New Roman" w:hAnsi="Times New Roman"/>
                <w:highlight w:val="green"/>
              </w:rPr>
            </w:pPr>
            <w:bookmarkStart w:id="55" w:name="EB25af76a80edc44628a88cb831a577aa2"/>
            <w:r>
              <w:rPr>
                <w:rFonts w:ascii="Times New Roman" w:hAnsi="Times New Roman"/>
                <w:color w:val="0000FF"/>
                <w:highlight w:val="white"/>
              </w:rPr>
              <w:t>详见招标公告</w:t>
            </w:r>
            <w:bookmarkEnd w:id="55"/>
          </w:p>
        </w:tc>
      </w:tr>
      <w:tr w14:paraId="5BD5F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194ABDC4">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1.1.7</w:t>
            </w:r>
          </w:p>
        </w:tc>
        <w:tc>
          <w:tcPr>
            <w:tcW w:w="2657" w:type="dxa"/>
            <w:noWrap w:val="0"/>
            <w:vAlign w:val="top"/>
          </w:tcPr>
          <w:p w14:paraId="54B4C8D5">
            <w:pPr>
              <w:spacing w:line="276" w:lineRule="auto"/>
              <w:rPr>
                <w:rFonts w:ascii="Times New Roman" w:hAnsi="Times New Roman"/>
              </w:rPr>
            </w:pPr>
            <w:r>
              <w:rPr>
                <w:rFonts w:ascii="Times New Roman" w:hAnsi="Times New Roman"/>
                <w:highlight w:val="white"/>
              </w:rPr>
              <w:t>项目投资估算/建筑安装工程费/工程概算</w:t>
            </w:r>
          </w:p>
        </w:tc>
        <w:tc>
          <w:tcPr>
            <w:tcW w:w="4536" w:type="dxa"/>
            <w:noWrap w:val="0"/>
            <w:vAlign w:val="top"/>
          </w:tcPr>
          <w:p w14:paraId="6B8DCCF5">
            <w:pPr>
              <w:spacing w:line="276" w:lineRule="auto"/>
              <w:rPr>
                <w:rFonts w:ascii="Times New Roman" w:hAnsi="Times New Roman"/>
                <w:color w:val="0000FF"/>
                <w:highlight w:val="green"/>
              </w:rPr>
            </w:pPr>
            <w:bookmarkStart w:id="56" w:name="EB92633fce42fb48a981fc89ed86f08b17"/>
            <w:r>
              <w:rPr>
                <w:rFonts w:ascii="Times New Roman" w:hAnsi="Times New Roman"/>
                <w:color w:val="0000FF"/>
                <w:highlight w:val="white"/>
              </w:rPr>
              <w:t>/</w:t>
            </w:r>
            <w:bookmarkEnd w:id="56"/>
          </w:p>
        </w:tc>
      </w:tr>
      <w:tr w14:paraId="139A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5366D9F2">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1.2.1</w:t>
            </w:r>
          </w:p>
        </w:tc>
        <w:tc>
          <w:tcPr>
            <w:tcW w:w="2657" w:type="dxa"/>
            <w:noWrap w:val="0"/>
            <w:vAlign w:val="top"/>
          </w:tcPr>
          <w:p w14:paraId="21030A1B">
            <w:pPr>
              <w:spacing w:line="276" w:lineRule="auto"/>
              <w:rPr>
                <w:rFonts w:ascii="Times New Roman" w:hAnsi="Times New Roman"/>
              </w:rPr>
            </w:pPr>
            <w:r>
              <w:rPr>
                <w:rFonts w:ascii="Times New Roman" w:hAnsi="Times New Roman"/>
                <w:highlight w:val="white"/>
              </w:rPr>
              <w:t>资金来源及比例</w:t>
            </w:r>
          </w:p>
        </w:tc>
        <w:tc>
          <w:tcPr>
            <w:tcW w:w="4536" w:type="dxa"/>
            <w:noWrap w:val="0"/>
            <w:vAlign w:val="top"/>
          </w:tcPr>
          <w:p w14:paraId="495D3378">
            <w:pPr>
              <w:spacing w:line="276" w:lineRule="auto"/>
              <w:rPr>
                <w:rFonts w:ascii="Times New Roman" w:hAnsi="Times New Roman"/>
                <w:color w:val="0000FF"/>
                <w:highlight w:val="green"/>
              </w:rPr>
            </w:pPr>
            <w:bookmarkStart w:id="57" w:name="EBed6b94ba47a14b0aa1ba3bea2f1c65be"/>
            <w:r>
              <w:rPr>
                <w:rFonts w:ascii="Times New Roman" w:hAnsi="Times New Roman"/>
                <w:color w:val="0000FF"/>
                <w:highlight w:val="white"/>
              </w:rPr>
              <w:t>详见招标公告</w:t>
            </w:r>
            <w:bookmarkEnd w:id="57"/>
          </w:p>
        </w:tc>
      </w:tr>
      <w:tr w14:paraId="49D5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14119E6">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1.2.2</w:t>
            </w:r>
          </w:p>
        </w:tc>
        <w:tc>
          <w:tcPr>
            <w:tcW w:w="2657" w:type="dxa"/>
            <w:noWrap w:val="0"/>
            <w:vAlign w:val="top"/>
          </w:tcPr>
          <w:p w14:paraId="52FD7DA8">
            <w:pPr>
              <w:spacing w:line="276" w:lineRule="auto"/>
              <w:rPr>
                <w:rFonts w:ascii="Times New Roman" w:hAnsi="Times New Roman"/>
              </w:rPr>
            </w:pPr>
            <w:r>
              <w:rPr>
                <w:rFonts w:ascii="Times New Roman" w:hAnsi="Times New Roman"/>
                <w:highlight w:val="white"/>
              </w:rPr>
              <w:t>资金落实情况</w:t>
            </w:r>
          </w:p>
        </w:tc>
        <w:tc>
          <w:tcPr>
            <w:tcW w:w="4536" w:type="dxa"/>
            <w:noWrap w:val="0"/>
            <w:vAlign w:val="top"/>
          </w:tcPr>
          <w:p w14:paraId="3CD85F05">
            <w:pPr>
              <w:spacing w:line="276" w:lineRule="auto"/>
              <w:rPr>
                <w:rFonts w:ascii="Times New Roman" w:hAnsi="Times New Roman"/>
                <w:color w:val="0000FF"/>
                <w:highlight w:val="green"/>
              </w:rPr>
            </w:pPr>
            <w:bookmarkStart w:id="58" w:name="EBc0c930ac46024f9aa6e3a4b3032f7ecc"/>
            <w:r>
              <w:rPr>
                <w:rFonts w:hint="eastAsia" w:ascii="Calibri" w:hAnsi="Calibri"/>
                <w:color w:val="0000FF"/>
                <w:kern w:val="2"/>
                <w:sz w:val="21"/>
                <w:szCs w:val="22"/>
                <w:highlight w:val="white"/>
                <w:lang w:val="en-US" w:eastAsia="zh-CN" w:bidi="ar-SA"/>
              </w:rPr>
              <w:t>已落实</w:t>
            </w:r>
            <w:bookmarkEnd w:id="58"/>
          </w:p>
        </w:tc>
      </w:tr>
      <w:tr w14:paraId="5E4D0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5FB0362">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1.2.3</w:t>
            </w:r>
          </w:p>
        </w:tc>
        <w:tc>
          <w:tcPr>
            <w:tcW w:w="2657" w:type="dxa"/>
            <w:noWrap w:val="0"/>
            <w:vAlign w:val="top"/>
          </w:tcPr>
          <w:p w14:paraId="721C9882">
            <w:pPr>
              <w:spacing w:line="276" w:lineRule="auto"/>
              <w:jc w:val="center"/>
              <w:rPr>
                <w:rFonts w:ascii="Times New Roman" w:hAnsi="Times New Roman"/>
                <w:szCs w:val="21"/>
              </w:rPr>
            </w:pPr>
          </w:p>
          <w:p w14:paraId="247D1FCD">
            <w:pPr>
              <w:spacing w:line="276" w:lineRule="auto"/>
              <w:jc w:val="center"/>
              <w:rPr>
                <w:rFonts w:ascii="Times New Roman" w:hAnsi="Times New Roman"/>
                <w:szCs w:val="21"/>
              </w:rPr>
            </w:pPr>
          </w:p>
          <w:p w14:paraId="4FA27C32">
            <w:pPr>
              <w:spacing w:line="276" w:lineRule="auto"/>
              <w:jc w:val="center"/>
              <w:rPr>
                <w:rFonts w:ascii="Times New Roman" w:hAnsi="Times New Roman"/>
                <w:szCs w:val="21"/>
              </w:rPr>
            </w:pPr>
          </w:p>
          <w:p w14:paraId="27DA3142">
            <w:pPr>
              <w:spacing w:line="276" w:lineRule="auto"/>
              <w:rPr>
                <w:rFonts w:ascii="Times New Roman" w:hAnsi="Times New Roman"/>
              </w:rPr>
            </w:pPr>
            <w:r>
              <w:rPr>
                <w:rFonts w:ascii="Times New Roman" w:hAnsi="Times New Roman"/>
                <w:szCs w:val="21"/>
                <w:highlight w:val="white"/>
              </w:rPr>
              <w:t>项目性质</w:t>
            </w:r>
          </w:p>
        </w:tc>
        <w:tc>
          <w:tcPr>
            <w:tcW w:w="4536" w:type="dxa"/>
            <w:noWrap w:val="0"/>
            <w:vAlign w:val="top"/>
          </w:tcPr>
          <w:p w14:paraId="151D8D69">
            <w:pPr>
              <w:rPr>
                <w:rFonts w:ascii="Times New Roman" w:hAnsi="Times New Roman"/>
              </w:rPr>
            </w:pPr>
            <w:bookmarkStart w:id="59" w:name="EB7d9a4c677e8c4f51beffcd14447569f0"/>
            <w:r>
              <w:rPr>
                <w:rFonts w:ascii="Segoe UI Symbol" w:hAnsi="Segoe UI Symbol" w:cs="Segoe UI Symbol"/>
                <w:color w:val="0000FF"/>
                <w:highlight w:val="white"/>
              </w:rPr>
              <w:t>☑</w:t>
            </w:r>
            <w:bookmarkEnd w:id="59"/>
            <w:r>
              <w:rPr>
                <w:rFonts w:ascii="Times New Roman" w:hAnsi="Times New Roman"/>
                <w:highlight w:val="white"/>
              </w:rPr>
              <w:t>本项目不属于政府采购与工程建设有关的服务，不执行政府采购政策。</w:t>
            </w:r>
          </w:p>
          <w:p w14:paraId="082D2DAD">
            <w:pPr>
              <w:spacing w:line="276" w:lineRule="auto"/>
              <w:rPr>
                <w:rFonts w:ascii="Times New Roman" w:hAnsi="Times New Roman"/>
                <w:color w:val="0000FF"/>
                <w:highlight w:val="green"/>
              </w:rPr>
            </w:pPr>
            <w:bookmarkStart w:id="60" w:name="EB256f1416ddab4c63afe4497d8228fe34"/>
            <w:r>
              <w:rPr>
                <w:rFonts w:ascii="Times New Roman" w:hAnsi="Times New Roman"/>
                <w:color w:val="0000FF"/>
                <w:highlight w:val="white"/>
              </w:rPr>
              <w:t>□</w:t>
            </w:r>
            <w:bookmarkEnd w:id="60"/>
            <w:r>
              <w:rPr>
                <w:rFonts w:ascii="Times New Roman" w:hAnsi="Times New Roman"/>
                <w:highlight w:val="white"/>
              </w:rPr>
              <w:t>本项目属于政府采购与工程建设有关的服务，执行支持中小企业发展政策。采购标的对应的中小企业划型标准所属行业为</w:t>
            </w:r>
            <w:bookmarkStart w:id="61" w:name="EB9a4cf134b962460d865b5868e0fdf12d"/>
            <w:bookmarkEnd w:id="61"/>
            <w:r>
              <w:rPr>
                <w:rFonts w:ascii="Times New Roman" w:hAnsi="Times New Roman"/>
                <w:highlight w:val="white"/>
              </w:rPr>
              <w:t>。（前述中小企业划型标准所属行业，依据《中小企业划型标准规定》（工信部联企业[2011]300号）规定，由招标人根据项目的具体情况约定）</w:t>
            </w:r>
          </w:p>
        </w:tc>
      </w:tr>
      <w:tr w14:paraId="0938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A93B74E">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1.3.1</w:t>
            </w:r>
          </w:p>
        </w:tc>
        <w:tc>
          <w:tcPr>
            <w:tcW w:w="2657" w:type="dxa"/>
            <w:noWrap w:val="0"/>
            <w:vAlign w:val="top"/>
          </w:tcPr>
          <w:p w14:paraId="53775FC1">
            <w:pPr>
              <w:spacing w:line="276" w:lineRule="auto"/>
              <w:rPr>
                <w:rFonts w:ascii="Times New Roman" w:hAnsi="Times New Roman"/>
              </w:rPr>
            </w:pPr>
            <w:r>
              <w:rPr>
                <w:rFonts w:ascii="Times New Roman" w:hAnsi="Times New Roman"/>
                <w:highlight w:val="white"/>
              </w:rPr>
              <w:t>招标范围</w:t>
            </w:r>
          </w:p>
        </w:tc>
        <w:tc>
          <w:tcPr>
            <w:tcW w:w="4536" w:type="dxa"/>
            <w:noWrap w:val="0"/>
            <w:vAlign w:val="top"/>
          </w:tcPr>
          <w:p w14:paraId="33CF41A2">
            <w:pPr>
              <w:spacing w:line="276" w:lineRule="auto"/>
              <w:rPr>
                <w:rFonts w:ascii="Times New Roman" w:hAnsi="Times New Roman"/>
                <w:color w:val="0000FF"/>
                <w:highlight w:val="green"/>
              </w:rPr>
            </w:pPr>
            <w:bookmarkStart w:id="62" w:name="EB793b8f8b8b7746fc8eb67f6bc7a677c5"/>
            <w:r>
              <w:rPr>
                <w:rFonts w:ascii="Times New Roman" w:hAnsi="Times New Roman"/>
                <w:color w:val="0000FF"/>
                <w:highlight w:val="white"/>
              </w:rPr>
              <w:t>详见招标公告</w:t>
            </w:r>
            <w:bookmarkEnd w:id="62"/>
          </w:p>
        </w:tc>
      </w:tr>
      <w:tr w14:paraId="7B1A4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3467AA7">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1.3.2</w:t>
            </w:r>
          </w:p>
        </w:tc>
        <w:tc>
          <w:tcPr>
            <w:tcW w:w="2657" w:type="dxa"/>
            <w:noWrap w:val="0"/>
            <w:vAlign w:val="top"/>
          </w:tcPr>
          <w:p w14:paraId="1B291022">
            <w:pPr>
              <w:spacing w:line="276" w:lineRule="auto"/>
              <w:rPr>
                <w:rFonts w:ascii="Times New Roman" w:hAnsi="Times New Roman"/>
              </w:rPr>
            </w:pPr>
            <w:r>
              <w:rPr>
                <w:rFonts w:ascii="Times New Roman" w:hAnsi="Times New Roman"/>
                <w:highlight w:val="white"/>
              </w:rPr>
              <w:t>服务期限</w:t>
            </w:r>
          </w:p>
        </w:tc>
        <w:tc>
          <w:tcPr>
            <w:tcW w:w="4536" w:type="dxa"/>
            <w:noWrap w:val="0"/>
            <w:vAlign w:val="top"/>
          </w:tcPr>
          <w:p w14:paraId="37FD61CD">
            <w:pPr>
              <w:spacing w:line="276" w:lineRule="auto"/>
              <w:rPr>
                <w:rFonts w:ascii="Times New Roman" w:hAnsi="Times New Roman"/>
                <w:color w:val="0000FF"/>
                <w:highlight w:val="green"/>
              </w:rPr>
            </w:pPr>
            <w:bookmarkStart w:id="63" w:name="EB1ac12aaa9bd1450883220ec9f589de83"/>
            <w:r>
              <w:rPr>
                <w:rFonts w:ascii="Times New Roman" w:hAnsi="Times New Roman"/>
                <w:color w:val="0000FF"/>
                <w:highlight w:val="white"/>
              </w:rPr>
              <w:t>详见招标公告</w:t>
            </w:r>
            <w:bookmarkEnd w:id="63"/>
          </w:p>
        </w:tc>
      </w:tr>
      <w:tr w14:paraId="1A85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86E6CD5">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1.3.3</w:t>
            </w:r>
          </w:p>
        </w:tc>
        <w:tc>
          <w:tcPr>
            <w:tcW w:w="2657" w:type="dxa"/>
            <w:noWrap w:val="0"/>
            <w:vAlign w:val="top"/>
          </w:tcPr>
          <w:p w14:paraId="018B4C6A">
            <w:pPr>
              <w:spacing w:line="276" w:lineRule="auto"/>
              <w:rPr>
                <w:rFonts w:ascii="Times New Roman" w:hAnsi="Times New Roman"/>
              </w:rPr>
            </w:pPr>
            <w:r>
              <w:rPr>
                <w:rFonts w:ascii="Times New Roman" w:hAnsi="Times New Roman"/>
                <w:highlight w:val="white"/>
              </w:rPr>
              <w:t>质量标准</w:t>
            </w:r>
          </w:p>
        </w:tc>
        <w:tc>
          <w:tcPr>
            <w:tcW w:w="4536" w:type="dxa"/>
            <w:noWrap w:val="0"/>
            <w:vAlign w:val="top"/>
          </w:tcPr>
          <w:p w14:paraId="345D08ED">
            <w:pPr>
              <w:spacing w:line="276" w:lineRule="auto"/>
              <w:rPr>
                <w:rFonts w:ascii="Times New Roman" w:hAnsi="Times New Roman"/>
                <w:color w:val="0000FF"/>
                <w:highlight w:val="green"/>
              </w:rPr>
            </w:pPr>
            <w:bookmarkStart w:id="64" w:name="EB530cf1998b8149c8a94f1fac5abbccef"/>
            <w:r>
              <w:rPr>
                <w:rFonts w:ascii="Times New Roman" w:hAnsi="Times New Roman"/>
                <w:color w:val="0000FF"/>
                <w:highlight w:val="white"/>
              </w:rPr>
              <w:t>工作质量达到国家、行业主管部门规范的标准和要求。</w:t>
            </w:r>
            <w:bookmarkEnd w:id="64"/>
          </w:p>
        </w:tc>
      </w:tr>
      <w:tr w14:paraId="3C448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1F83A9AC">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1.3.4</w:t>
            </w:r>
          </w:p>
        </w:tc>
        <w:tc>
          <w:tcPr>
            <w:tcW w:w="2657" w:type="dxa"/>
            <w:noWrap w:val="0"/>
            <w:vAlign w:val="top"/>
          </w:tcPr>
          <w:p w14:paraId="11E4CCB5">
            <w:pPr>
              <w:spacing w:line="276" w:lineRule="auto"/>
              <w:rPr>
                <w:rFonts w:ascii="Times New Roman" w:hAnsi="Times New Roman"/>
              </w:rPr>
            </w:pPr>
            <w:r>
              <w:rPr>
                <w:rFonts w:ascii="Times New Roman" w:hAnsi="Times New Roman"/>
                <w:highlight w:val="white"/>
              </w:rPr>
              <w:t>安全目标</w:t>
            </w:r>
          </w:p>
        </w:tc>
        <w:tc>
          <w:tcPr>
            <w:tcW w:w="4536" w:type="dxa"/>
            <w:noWrap w:val="0"/>
            <w:vAlign w:val="top"/>
          </w:tcPr>
          <w:p w14:paraId="41C9478B">
            <w:pPr>
              <w:spacing w:line="276" w:lineRule="auto"/>
              <w:rPr>
                <w:rFonts w:hint="eastAsia" w:ascii="Times New Roman" w:hAnsi="Times New Roman" w:eastAsia="宋体"/>
                <w:color w:val="0000FF"/>
                <w:highlight w:val="green"/>
                <w:lang w:eastAsia="zh-CN"/>
              </w:rPr>
            </w:pPr>
            <w:r>
              <w:rPr>
                <w:rFonts w:hint="eastAsia" w:ascii="Times New Roman" w:hAnsi="Times New Roman"/>
                <w:color w:val="0000FF"/>
                <w:highlight w:val="white"/>
                <w:lang w:eastAsia="zh-CN"/>
              </w:rPr>
              <w:t>避免或减少一般安全事故，杜绝较大、重大、特大安全事故和伤亡事故的发生</w:t>
            </w:r>
          </w:p>
        </w:tc>
      </w:tr>
      <w:tr w14:paraId="5804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12441690">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1.3.5</w:t>
            </w:r>
          </w:p>
        </w:tc>
        <w:tc>
          <w:tcPr>
            <w:tcW w:w="2657" w:type="dxa"/>
            <w:noWrap w:val="0"/>
            <w:vAlign w:val="top"/>
          </w:tcPr>
          <w:p w14:paraId="13A7F760">
            <w:pPr>
              <w:spacing w:line="276" w:lineRule="auto"/>
              <w:rPr>
                <w:rFonts w:ascii="Times New Roman" w:hAnsi="Times New Roman"/>
              </w:rPr>
            </w:pPr>
          </w:p>
          <w:p w14:paraId="38C5A0DF">
            <w:pPr>
              <w:spacing w:line="276" w:lineRule="auto"/>
              <w:rPr>
                <w:rFonts w:ascii="Times New Roman" w:hAnsi="Times New Roman"/>
              </w:rPr>
            </w:pPr>
          </w:p>
          <w:p w14:paraId="0926056E">
            <w:pPr>
              <w:spacing w:line="276" w:lineRule="auto"/>
              <w:rPr>
                <w:rFonts w:ascii="Times New Roman" w:hAnsi="Times New Roman"/>
              </w:rPr>
            </w:pPr>
          </w:p>
          <w:p w14:paraId="7130A0E1">
            <w:pPr>
              <w:spacing w:line="276" w:lineRule="auto"/>
              <w:rPr>
                <w:rFonts w:ascii="Times New Roman" w:hAnsi="Times New Roman"/>
              </w:rPr>
            </w:pPr>
          </w:p>
          <w:p w14:paraId="4A638FFC">
            <w:pPr>
              <w:spacing w:line="276" w:lineRule="auto"/>
              <w:rPr>
                <w:rFonts w:ascii="Times New Roman" w:hAnsi="Times New Roman"/>
              </w:rPr>
            </w:pPr>
          </w:p>
          <w:p w14:paraId="7BF7D5D2">
            <w:pPr>
              <w:spacing w:line="276" w:lineRule="auto"/>
              <w:rPr>
                <w:rFonts w:ascii="Times New Roman" w:hAnsi="Times New Roman"/>
              </w:rPr>
            </w:pPr>
          </w:p>
          <w:p w14:paraId="3442669F">
            <w:pPr>
              <w:spacing w:line="276" w:lineRule="auto"/>
              <w:rPr>
                <w:rFonts w:ascii="Times New Roman" w:hAnsi="Times New Roman"/>
              </w:rPr>
            </w:pPr>
          </w:p>
          <w:p w14:paraId="5CCAD8EA">
            <w:pPr>
              <w:spacing w:line="276" w:lineRule="auto"/>
              <w:rPr>
                <w:rFonts w:ascii="Times New Roman" w:hAnsi="Times New Roman"/>
              </w:rPr>
            </w:pPr>
            <w:r>
              <w:rPr>
                <w:rFonts w:ascii="Times New Roman" w:hAnsi="Times New Roman"/>
                <w:highlight w:val="white"/>
              </w:rPr>
              <w:t>政府采购政策</w:t>
            </w:r>
          </w:p>
        </w:tc>
        <w:tc>
          <w:tcPr>
            <w:tcW w:w="4536" w:type="dxa"/>
            <w:noWrap w:val="0"/>
            <w:vAlign w:val="top"/>
          </w:tcPr>
          <w:p w14:paraId="346392B1">
            <w:pPr>
              <w:rPr>
                <w:rFonts w:ascii="Times New Roman" w:hAnsi="Times New Roman"/>
                <w:szCs w:val="21"/>
              </w:rPr>
            </w:pPr>
            <w:bookmarkStart w:id="65" w:name="EB48f87e6355d44600abcb9a5efcbe1418"/>
            <w:r>
              <w:rPr>
                <w:rFonts w:hint="eastAsia" w:ascii="Times New Roman" w:hAnsi="Times New Roman"/>
                <w:color w:val="0000FF"/>
                <w:szCs w:val="21"/>
                <w:highlight w:val="white"/>
                <w:lang w:val="en-US" w:eastAsia="zh-CN"/>
              </w:rPr>
              <w:t>1.</w:t>
            </w:r>
            <w:bookmarkEnd w:id="65"/>
            <w:r>
              <w:rPr>
                <w:rFonts w:ascii="Times New Roman" w:hAnsi="Times New Roman"/>
                <w:szCs w:val="21"/>
                <w:highlight w:val="white"/>
              </w:rPr>
              <w:t>根据相关规定，本项目采用以下方式支持中小企业发展</w:t>
            </w:r>
          </w:p>
          <w:p w14:paraId="062DD6D9">
            <w:pPr>
              <w:ind w:firstLine="105" w:firstLineChars="50"/>
              <w:rPr>
                <w:rFonts w:ascii="Times New Roman" w:hAnsi="Times New Roman"/>
                <w:szCs w:val="21"/>
              </w:rPr>
            </w:pPr>
            <w:bookmarkStart w:id="66" w:name="EB800a839f279f4bcbb73e839c2a5b2778"/>
            <w:r>
              <w:rPr>
                <w:rFonts w:ascii="Times New Roman" w:hAnsi="Times New Roman"/>
                <w:color w:val="0000FF"/>
                <w:szCs w:val="21"/>
                <w:highlight w:val="white"/>
              </w:rPr>
              <w:t>□</w:t>
            </w:r>
            <w:bookmarkEnd w:id="66"/>
            <w:r>
              <w:rPr>
                <w:rFonts w:ascii="Times New Roman" w:hAnsi="Times New Roman"/>
                <w:szCs w:val="21"/>
                <w:highlight w:val="white"/>
              </w:rPr>
              <w:t>项目整体预留专门面向中小企业采购。</w:t>
            </w:r>
          </w:p>
          <w:p w14:paraId="07FEF3B3">
            <w:pPr>
              <w:ind w:firstLine="105" w:firstLineChars="50"/>
              <w:rPr>
                <w:rFonts w:ascii="Times New Roman" w:hAnsi="Times New Roman"/>
                <w:szCs w:val="21"/>
              </w:rPr>
            </w:pPr>
            <w:bookmarkStart w:id="67" w:name="EB096e881daf34400c81b7935d3281d3ba"/>
            <w:r>
              <w:rPr>
                <w:rFonts w:ascii="Times New Roman" w:hAnsi="Times New Roman"/>
                <w:color w:val="0000FF"/>
                <w:szCs w:val="21"/>
                <w:highlight w:val="white"/>
              </w:rPr>
              <w:t>□</w:t>
            </w:r>
            <w:bookmarkEnd w:id="67"/>
            <w:r>
              <w:rPr>
                <w:rFonts w:ascii="Times New Roman" w:hAnsi="Times New Roman"/>
                <w:szCs w:val="21"/>
                <w:highlight w:val="white"/>
              </w:rPr>
              <w:t>项目整体预留专门面向小微企业采购。</w:t>
            </w:r>
          </w:p>
          <w:p w14:paraId="70CC3D77">
            <w:pPr>
              <w:ind w:firstLine="105" w:firstLineChars="50"/>
              <w:rPr>
                <w:rFonts w:ascii="Times New Roman" w:hAnsi="Times New Roman"/>
                <w:szCs w:val="21"/>
              </w:rPr>
            </w:pPr>
            <w:bookmarkStart w:id="68" w:name="EBabd19b433e494a198eeed40e7a5cc233"/>
            <w:r>
              <w:rPr>
                <w:rFonts w:ascii="Times New Roman" w:hAnsi="Times New Roman"/>
                <w:color w:val="0000FF"/>
                <w:szCs w:val="21"/>
                <w:highlight w:val="white"/>
              </w:rPr>
              <w:t>□</w:t>
            </w:r>
            <w:bookmarkEnd w:id="68"/>
            <w:r>
              <w:rPr>
                <w:rFonts w:ascii="Times New Roman" w:hAnsi="Times New Roman"/>
                <w:szCs w:val="21"/>
                <w:highlight w:val="white"/>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w:t>
            </w:r>
          </w:p>
          <w:p w14:paraId="4244F31A">
            <w:pPr>
              <w:rPr>
                <w:rFonts w:ascii="Times New Roman" w:hAnsi="Times New Roman"/>
                <w:szCs w:val="21"/>
              </w:rPr>
            </w:pPr>
          </w:p>
          <w:p w14:paraId="6160FC07">
            <w:pPr>
              <w:rPr>
                <w:rFonts w:ascii="Times New Roman" w:hAnsi="Times New Roman"/>
                <w:szCs w:val="21"/>
                <w:highlight w:val="white"/>
              </w:rPr>
            </w:pPr>
            <w:bookmarkStart w:id="69" w:name="EBc88bbb9bef7d4c0faec43c4f1dfd96f3"/>
            <w:r>
              <w:rPr>
                <w:rFonts w:ascii="Times New Roman" w:hAnsi="Times New Roman"/>
                <w:color w:val="0000FF"/>
                <w:szCs w:val="21"/>
                <w:highlight w:val="white"/>
              </w:rPr>
              <w:t>□</w:t>
            </w:r>
            <w:bookmarkEnd w:id="69"/>
            <w:r>
              <w:rPr>
                <w:rFonts w:ascii="Times New Roman" w:hAnsi="Times New Roman"/>
                <w:szCs w:val="21"/>
                <w:highlight w:val="white"/>
              </w:rPr>
              <w:t>根据相关规定，本项目未预留份额专门面向中小企业采购，但对符合政府采购特别资格要求（详见第二章投标人须知附录一“投标人资质条件、能力和信誉”）且满足一定条件的投标人（详见第三章评标办法“政府采购政府采购与工程建设有关的服务价格评审优惠”），在评标时享受价格扣除或增加价格分的优惠政策。</w:t>
            </w:r>
          </w:p>
          <w:p w14:paraId="7D634A16">
            <w:pPr>
              <w:pStyle w:val="37"/>
              <w:numPr>
                <w:ilvl w:val="0"/>
                <w:numId w:val="2"/>
              </w:numPr>
              <w:tabs>
                <w:tab w:val="left" w:pos="322"/>
              </w:tabs>
              <w:spacing w:before="0" w:after="0" w:line="256" w:lineRule="exact"/>
              <w:ind w:left="322" w:right="0" w:hanging="210"/>
              <w:jc w:val="left"/>
              <w:rPr>
                <w:sz w:val="21"/>
              </w:rPr>
            </w:pPr>
            <w:r>
              <w:rPr>
                <w:spacing w:val="-12"/>
                <w:sz w:val="21"/>
              </w:rPr>
              <w:t>根据规定，本项目采用以下方式支持监狱企业</w:t>
            </w:r>
          </w:p>
          <w:p w14:paraId="7747BF24">
            <w:pPr>
              <w:pStyle w:val="37"/>
              <w:spacing w:before="132"/>
              <w:ind w:left="112"/>
              <w:rPr>
                <w:sz w:val="21"/>
              </w:rPr>
            </w:pPr>
            <w:r>
              <w:rPr>
                <w:spacing w:val="-4"/>
                <w:sz w:val="21"/>
              </w:rPr>
              <w:t>发展：</w:t>
            </w:r>
          </w:p>
          <w:p w14:paraId="6318E482">
            <w:pPr>
              <w:pStyle w:val="37"/>
              <w:spacing w:before="132" w:line="350" w:lineRule="auto"/>
              <w:ind w:left="112" w:right="-15"/>
              <w:rPr>
                <w:sz w:val="21"/>
              </w:rPr>
            </w:pPr>
            <w:r>
              <w:rPr>
                <w:spacing w:val="-2"/>
                <w:sz w:val="21"/>
              </w:rPr>
              <w:t>在招标活动中，监狱企业视同小型、微型企业。</w:t>
            </w:r>
            <w:r>
              <w:rPr>
                <w:spacing w:val="-10"/>
                <w:sz w:val="21"/>
              </w:rPr>
              <w:t>监狱企业参加招标活动时，应当提供由省级以上</w:t>
            </w:r>
            <w:r>
              <w:rPr>
                <w:spacing w:val="-23"/>
                <w:sz w:val="21"/>
              </w:rPr>
              <w:t>监狱管理局、戒毒管理局</w:t>
            </w:r>
            <w:r>
              <w:rPr>
                <w:spacing w:val="-2"/>
                <w:sz w:val="21"/>
              </w:rPr>
              <w:t>（含新疆生产建设兵团）</w:t>
            </w:r>
            <w:r>
              <w:rPr>
                <w:spacing w:val="-8"/>
                <w:sz w:val="21"/>
              </w:rPr>
              <w:t>出具的属于监狱企业的证明文件，材料不全的不</w:t>
            </w:r>
            <w:r>
              <w:rPr>
                <w:spacing w:val="-2"/>
                <w:sz w:val="21"/>
              </w:rPr>
              <w:t>享受政策。</w:t>
            </w:r>
          </w:p>
          <w:p w14:paraId="67639762">
            <w:pPr>
              <w:pStyle w:val="37"/>
              <w:spacing w:before="4" w:line="350" w:lineRule="auto"/>
              <w:ind w:left="112" w:right="75"/>
              <w:jc w:val="both"/>
              <w:rPr>
                <w:sz w:val="21"/>
              </w:rPr>
            </w:pPr>
            <w:r>
              <w:rPr>
                <w:spacing w:val="-10"/>
                <w:sz w:val="21"/>
              </w:rPr>
              <w:t>对小微企业中的监狱企业，评审中计算价格扣除</w:t>
            </w:r>
            <w:r>
              <w:rPr>
                <w:spacing w:val="-8"/>
                <w:sz w:val="21"/>
              </w:rPr>
              <w:t xml:space="preserve">时给予 </w:t>
            </w:r>
            <w:r>
              <w:rPr>
                <w:spacing w:val="-2"/>
                <w:sz w:val="21"/>
              </w:rPr>
              <w:t>5%</w:t>
            </w:r>
            <w:r>
              <w:rPr>
                <w:spacing w:val="-4"/>
                <w:sz w:val="21"/>
              </w:rPr>
              <w:t xml:space="preserve">的扣除或增加价格分时给予 </w:t>
            </w:r>
            <w:r>
              <w:rPr>
                <w:spacing w:val="-2"/>
                <w:sz w:val="21"/>
              </w:rPr>
              <w:t>5%的增加</w:t>
            </w:r>
            <w:r>
              <w:rPr>
                <w:spacing w:val="-4"/>
                <w:sz w:val="21"/>
              </w:rPr>
              <w:t>价格分。</w:t>
            </w:r>
          </w:p>
          <w:p w14:paraId="6B655575">
            <w:pPr>
              <w:pStyle w:val="37"/>
              <w:numPr>
                <w:ilvl w:val="0"/>
                <w:numId w:val="2"/>
              </w:numPr>
              <w:tabs>
                <w:tab w:val="left" w:pos="322"/>
              </w:tabs>
              <w:spacing w:before="6" w:after="0" w:line="357" w:lineRule="auto"/>
              <w:ind w:left="112" w:right="76" w:firstLine="0"/>
              <w:jc w:val="left"/>
              <w:rPr>
                <w:sz w:val="21"/>
              </w:rPr>
            </w:pPr>
            <w:r>
              <w:rPr>
                <w:spacing w:val="-12"/>
                <w:sz w:val="21"/>
              </w:rPr>
              <w:t>根据规定，本项目采用以下方式支持残疾人福</w:t>
            </w:r>
            <w:r>
              <w:rPr>
                <w:spacing w:val="-2"/>
                <w:sz w:val="21"/>
              </w:rPr>
              <w:t>利性单位发展：</w:t>
            </w:r>
          </w:p>
          <w:p w14:paraId="07F637B6">
            <w:pPr>
              <w:pStyle w:val="37"/>
              <w:spacing w:line="255" w:lineRule="exact"/>
              <w:ind w:left="112"/>
              <w:rPr>
                <w:sz w:val="21"/>
              </w:rPr>
            </w:pPr>
            <w:r>
              <w:rPr>
                <w:spacing w:val="-7"/>
                <w:sz w:val="21"/>
              </w:rPr>
              <w:t>在招标活动中，残疾人福利性单位视同小型、微</w:t>
            </w:r>
          </w:p>
          <w:p w14:paraId="7EE1E922">
            <w:pPr>
              <w:pStyle w:val="37"/>
              <w:spacing w:before="132"/>
              <w:ind w:left="112"/>
              <w:rPr>
                <w:sz w:val="21"/>
              </w:rPr>
            </w:pPr>
            <w:r>
              <w:rPr>
                <w:spacing w:val="-3"/>
                <w:sz w:val="21"/>
              </w:rPr>
              <w:t>型企业。</w:t>
            </w:r>
          </w:p>
          <w:p w14:paraId="2EE7808E">
            <w:pPr>
              <w:pStyle w:val="37"/>
              <w:spacing w:before="133" w:line="352" w:lineRule="auto"/>
              <w:ind w:left="112" w:right="77"/>
              <w:jc w:val="both"/>
              <w:rPr>
                <w:sz w:val="21"/>
              </w:rPr>
            </w:pPr>
            <w:r>
              <w:rPr>
                <w:sz w:val="21"/>
              </w:rPr>
              <w:t>符合条件的残疾人福利性单位在参加招标活动</w:t>
            </w:r>
            <w:r>
              <w:rPr>
                <w:spacing w:val="-5"/>
                <w:sz w:val="21"/>
              </w:rPr>
              <w:t>时，应当提供《残疾人福利性单位声明函》，并</w:t>
            </w:r>
            <w:r>
              <w:rPr>
                <w:spacing w:val="-11"/>
                <w:sz w:val="21"/>
              </w:rPr>
              <w:t>对声明的真实性负责，未提供声明函的不享受政</w:t>
            </w:r>
            <w:r>
              <w:rPr>
                <w:spacing w:val="-6"/>
                <w:sz w:val="21"/>
              </w:rPr>
              <w:t>策。</w:t>
            </w:r>
          </w:p>
          <w:p w14:paraId="5E48B991">
            <w:pPr>
              <w:pStyle w:val="37"/>
              <w:spacing w:line="259" w:lineRule="exact"/>
              <w:ind w:left="112"/>
              <w:rPr>
                <w:sz w:val="21"/>
              </w:rPr>
            </w:pPr>
            <w:r>
              <w:rPr>
                <w:spacing w:val="-1"/>
                <w:sz w:val="21"/>
              </w:rPr>
              <w:t>对小微企业中符合残疾人福利性单位条件的企</w:t>
            </w:r>
          </w:p>
          <w:p w14:paraId="4CCD4CA8">
            <w:pPr>
              <w:pStyle w:val="37"/>
              <w:spacing w:before="132" w:line="357" w:lineRule="auto"/>
              <w:ind w:left="112" w:right="93"/>
              <w:rPr>
                <w:sz w:val="21"/>
              </w:rPr>
            </w:pPr>
            <w:r>
              <w:rPr>
                <w:spacing w:val="-2"/>
                <w:sz w:val="21"/>
              </w:rPr>
              <w:t xml:space="preserve">业，评审中计算价格扣除时给予 </w:t>
            </w:r>
            <w:r>
              <w:rPr>
                <w:sz w:val="21"/>
              </w:rPr>
              <w:t>5%的扣除或增</w:t>
            </w:r>
            <w:r>
              <w:rPr>
                <w:spacing w:val="-4"/>
                <w:sz w:val="21"/>
              </w:rPr>
              <w:t xml:space="preserve">加价格分时给予 </w:t>
            </w:r>
            <w:r>
              <w:rPr>
                <w:sz w:val="21"/>
              </w:rPr>
              <w:t>5%的增加价格分。</w:t>
            </w:r>
          </w:p>
          <w:p w14:paraId="778B9A94">
            <w:pPr>
              <w:pStyle w:val="37"/>
              <w:spacing w:before="0" w:line="256" w:lineRule="exact"/>
              <w:ind w:left="112"/>
              <w:rPr>
                <w:sz w:val="21"/>
              </w:rPr>
            </w:pPr>
            <w:r>
              <w:rPr>
                <w:rFonts w:ascii="Segoe UI Symbol" w:hAnsi="Segoe UI Symbol" w:eastAsia="Segoe UI Symbol"/>
                <w:color w:val="0000FF"/>
                <w:sz w:val="21"/>
              </w:rPr>
              <w:t>☑</w:t>
            </w:r>
            <w:r>
              <w:rPr>
                <w:spacing w:val="2"/>
                <w:sz w:val="21"/>
              </w:rPr>
              <w:t>本项目不属于政府采购与工程建设有关的服</w:t>
            </w:r>
            <w:r>
              <w:rPr>
                <w:spacing w:val="-1"/>
                <w:sz w:val="21"/>
              </w:rPr>
              <w:t>务，不执行政府采购政策。</w:t>
            </w:r>
          </w:p>
          <w:p w14:paraId="3719AA33">
            <w:pPr>
              <w:pStyle w:val="22"/>
              <w:ind w:left="0" w:leftChars="0" w:firstLine="0" w:firstLineChars="0"/>
            </w:pPr>
            <w:r>
              <w:rPr>
                <w:rFonts w:ascii="Calibri"/>
                <w:color w:val="0000FF"/>
                <w:spacing w:val="-10"/>
                <w:sz w:val="21"/>
              </w:rPr>
              <w:t>/</w:t>
            </w:r>
          </w:p>
          <w:p w14:paraId="31FF4AA5">
            <w:pPr>
              <w:spacing w:line="276" w:lineRule="auto"/>
              <w:rPr>
                <w:rFonts w:ascii="Times New Roman" w:hAnsi="Times New Roman"/>
                <w:color w:val="0000FF"/>
                <w:highlight w:val="green"/>
              </w:rPr>
            </w:pPr>
          </w:p>
        </w:tc>
      </w:tr>
      <w:tr w14:paraId="0EBCA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1CCFC38">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1.4.2</w:t>
            </w:r>
          </w:p>
        </w:tc>
        <w:tc>
          <w:tcPr>
            <w:tcW w:w="2657" w:type="dxa"/>
            <w:noWrap w:val="0"/>
            <w:vAlign w:val="top"/>
          </w:tcPr>
          <w:p w14:paraId="2F42E23A">
            <w:pPr>
              <w:spacing w:line="276" w:lineRule="auto"/>
              <w:rPr>
                <w:rFonts w:ascii="Times New Roman" w:hAnsi="Times New Roman"/>
              </w:rPr>
            </w:pPr>
          </w:p>
          <w:p w14:paraId="36DA5EA0">
            <w:pPr>
              <w:spacing w:line="276" w:lineRule="auto"/>
              <w:rPr>
                <w:rFonts w:ascii="Times New Roman" w:hAnsi="Times New Roman"/>
              </w:rPr>
            </w:pPr>
          </w:p>
          <w:p w14:paraId="169BFE75">
            <w:pPr>
              <w:spacing w:line="276" w:lineRule="auto"/>
              <w:rPr>
                <w:rFonts w:ascii="Times New Roman" w:hAnsi="Times New Roman"/>
              </w:rPr>
            </w:pPr>
            <w:r>
              <w:rPr>
                <w:rFonts w:ascii="Times New Roman" w:hAnsi="Times New Roman"/>
                <w:highlight w:val="white"/>
              </w:rPr>
              <w:t>是否接受联合体投标</w:t>
            </w:r>
          </w:p>
        </w:tc>
        <w:tc>
          <w:tcPr>
            <w:tcW w:w="4536" w:type="dxa"/>
            <w:noWrap w:val="0"/>
            <w:vAlign w:val="top"/>
          </w:tcPr>
          <w:p w14:paraId="689F2A37">
            <w:pPr>
              <w:spacing w:line="276" w:lineRule="auto"/>
              <w:rPr>
                <w:rFonts w:ascii="Times New Roman" w:hAnsi="Times New Roman"/>
              </w:rPr>
            </w:pPr>
            <w:bookmarkStart w:id="70" w:name="EBc908b7eb911543cb983b09e3684c93a6"/>
            <w:r>
              <w:rPr>
                <w:rFonts w:ascii="Segoe UI Symbol" w:hAnsi="Segoe UI Symbol" w:cs="Segoe UI Symbol"/>
                <w:color w:val="0000FF"/>
                <w:highlight w:val="white"/>
              </w:rPr>
              <w:t>☑</w:t>
            </w:r>
            <w:bookmarkEnd w:id="70"/>
            <w:r>
              <w:rPr>
                <w:rFonts w:ascii="Times New Roman" w:hAnsi="Times New Roman"/>
                <w:highlight w:val="white"/>
              </w:rPr>
              <w:t>不接受</w:t>
            </w:r>
          </w:p>
          <w:p w14:paraId="2FE94137">
            <w:pPr>
              <w:spacing w:line="276" w:lineRule="auto"/>
              <w:rPr>
                <w:rFonts w:ascii="Times New Roman" w:hAnsi="Times New Roman"/>
                <w:color w:val="0000FF"/>
                <w:highlight w:val="green"/>
              </w:rPr>
            </w:pPr>
            <w:bookmarkStart w:id="71" w:name="EB751824e89255423bbcb56af018848d65"/>
            <w:r>
              <w:rPr>
                <w:rFonts w:ascii="Times New Roman" w:hAnsi="Times New Roman"/>
                <w:color w:val="0000FF"/>
                <w:highlight w:val="white"/>
              </w:rPr>
              <w:t>□</w:t>
            </w:r>
            <w:bookmarkEnd w:id="71"/>
            <w:r>
              <w:rPr>
                <w:rFonts w:ascii="Times New Roman" w:hAnsi="Times New Roman"/>
                <w:highlight w:val="white"/>
              </w:rPr>
              <w:t>接受，应满足下列要求：</w:t>
            </w:r>
            <w:bookmarkStart w:id="72" w:name="EBb49eb0a5ffff412da8646b0d3b2bb591"/>
            <w:bookmarkEnd w:id="72"/>
            <w:r>
              <w:rPr>
                <w:rFonts w:hint="eastAsia" w:ascii="Calibri" w:hAnsi="Calibri"/>
                <w:color w:val="0000FF"/>
                <w:kern w:val="2"/>
                <w:sz w:val="21"/>
                <w:szCs w:val="22"/>
                <w:highlight w:val="white"/>
                <w:lang w:val="en-US" w:eastAsia="zh-CN" w:bidi="ar-SA"/>
              </w:rPr>
              <w:t>/</w:t>
            </w:r>
          </w:p>
          <w:p w14:paraId="0356E5EF">
            <w:pPr>
              <w:spacing w:line="276" w:lineRule="auto"/>
              <w:rPr>
                <w:rFonts w:ascii="Times New Roman" w:hAnsi="Times New Roman"/>
                <w:highlight w:val="green"/>
              </w:rPr>
            </w:pPr>
            <w:bookmarkStart w:id="73" w:name="EB8493e151c78648d2aad91bd07cd6a94a"/>
            <w:r>
              <w:rPr>
                <w:rFonts w:hint="eastAsia"/>
                <w:color w:val="0000FF"/>
                <w:highlight w:val="white"/>
              </w:rPr>
              <w:t>其中联合体资质按照联合体协议约定的分工认定。其他审查标准按联合体协议中约定的各成员分工所占合同工作量的比例，进行加权折算。</w:t>
            </w:r>
            <w:r>
              <w:rPr>
                <w:rFonts w:ascii="Times New Roman" w:hAnsi="Times New Roman"/>
                <w:color w:val="0000FF"/>
                <w:highlight w:val="white"/>
              </w:rPr>
              <w:t>。</w:t>
            </w:r>
            <w:bookmarkEnd w:id="73"/>
          </w:p>
        </w:tc>
      </w:tr>
      <w:tr w14:paraId="4CAC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1887F489">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1.4.3</w:t>
            </w:r>
          </w:p>
        </w:tc>
        <w:tc>
          <w:tcPr>
            <w:tcW w:w="2657" w:type="dxa"/>
            <w:noWrap w:val="0"/>
            <w:vAlign w:val="top"/>
          </w:tcPr>
          <w:p w14:paraId="63A13576">
            <w:pPr>
              <w:spacing w:line="276" w:lineRule="auto"/>
              <w:rPr>
                <w:rFonts w:ascii="Times New Roman" w:hAnsi="Times New Roman"/>
              </w:rPr>
            </w:pPr>
            <w:r>
              <w:rPr>
                <w:rFonts w:ascii="Times New Roman" w:hAnsi="Times New Roman"/>
                <w:highlight w:val="white"/>
              </w:rPr>
              <w:t>投标人不得存在的其他情形</w:t>
            </w:r>
          </w:p>
        </w:tc>
        <w:tc>
          <w:tcPr>
            <w:tcW w:w="4536" w:type="dxa"/>
            <w:noWrap w:val="0"/>
            <w:vAlign w:val="top"/>
          </w:tcPr>
          <w:p w14:paraId="0B241FBE">
            <w:pPr>
              <w:spacing w:line="276" w:lineRule="auto"/>
              <w:rPr>
                <w:rFonts w:ascii="Times New Roman" w:hAnsi="Times New Roman"/>
                <w:color w:val="0000FF"/>
                <w:highlight w:val="green"/>
              </w:rPr>
            </w:pPr>
            <w:bookmarkStart w:id="74" w:name="EB3e55d48605c3427a87790a7442791f16"/>
            <w:r>
              <w:rPr>
                <w:rFonts w:ascii="Times New Roman" w:hAnsi="Times New Roman"/>
                <w:color w:val="0000FF"/>
                <w:highlight w:val="white"/>
              </w:rPr>
              <w:t>/</w:t>
            </w:r>
            <w:bookmarkEnd w:id="74"/>
          </w:p>
        </w:tc>
      </w:tr>
      <w:tr w14:paraId="19AA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C2D72EE">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1.9.1</w:t>
            </w:r>
          </w:p>
        </w:tc>
        <w:tc>
          <w:tcPr>
            <w:tcW w:w="2657" w:type="dxa"/>
            <w:noWrap w:val="0"/>
            <w:vAlign w:val="top"/>
          </w:tcPr>
          <w:p w14:paraId="463F6DF5">
            <w:pPr>
              <w:spacing w:line="276" w:lineRule="auto"/>
              <w:rPr>
                <w:rFonts w:ascii="Times New Roman" w:hAnsi="Times New Roman"/>
              </w:rPr>
            </w:pPr>
            <w:r>
              <w:rPr>
                <w:rFonts w:ascii="Times New Roman" w:hAnsi="Times New Roman"/>
                <w:highlight w:val="white"/>
              </w:rPr>
              <w:t>踏勘现场</w:t>
            </w:r>
          </w:p>
        </w:tc>
        <w:tc>
          <w:tcPr>
            <w:tcW w:w="4536" w:type="dxa"/>
            <w:noWrap w:val="0"/>
            <w:vAlign w:val="top"/>
          </w:tcPr>
          <w:p w14:paraId="64B422B9">
            <w:pPr>
              <w:spacing w:line="276" w:lineRule="auto"/>
              <w:rPr>
                <w:rFonts w:ascii="Times New Roman" w:hAnsi="Times New Roman"/>
              </w:rPr>
            </w:pPr>
            <w:bookmarkStart w:id="75" w:name="EBe61eb2fda79c4cfc82c306ca49c5c6eb"/>
            <w:r>
              <w:rPr>
                <w:rFonts w:ascii="Segoe UI Symbol" w:hAnsi="Segoe UI Symbol" w:cs="Segoe UI Symbol"/>
                <w:color w:val="0000FF"/>
                <w:highlight w:val="white"/>
              </w:rPr>
              <w:t>☑</w:t>
            </w:r>
            <w:bookmarkEnd w:id="75"/>
            <w:r>
              <w:rPr>
                <w:rFonts w:ascii="Times New Roman" w:hAnsi="Times New Roman"/>
                <w:highlight w:val="white"/>
              </w:rPr>
              <w:t>不组织</w:t>
            </w:r>
          </w:p>
          <w:p w14:paraId="03F23FF7">
            <w:pPr>
              <w:spacing w:line="276" w:lineRule="auto"/>
              <w:rPr>
                <w:rFonts w:ascii="Times New Roman" w:hAnsi="Times New Roman"/>
              </w:rPr>
            </w:pPr>
            <w:bookmarkStart w:id="76" w:name="EB1d20efb8bf1c44a5a9861497b1f8b01d"/>
            <w:r>
              <w:rPr>
                <w:rFonts w:ascii="Times New Roman" w:hAnsi="Times New Roman"/>
                <w:color w:val="0000FF"/>
                <w:highlight w:val="white"/>
              </w:rPr>
              <w:t>□</w:t>
            </w:r>
            <w:bookmarkEnd w:id="76"/>
            <w:r>
              <w:rPr>
                <w:rFonts w:ascii="Times New Roman" w:hAnsi="Times New Roman"/>
                <w:highlight w:val="white"/>
              </w:rPr>
              <w:t>组织，踏勘时间：</w:t>
            </w:r>
            <w:bookmarkStart w:id="77" w:name="EBc5c207b4580b4d44a60f32e225d39116"/>
            <w:bookmarkEnd w:id="77"/>
          </w:p>
          <w:p w14:paraId="710339ED">
            <w:pPr>
              <w:spacing w:line="276" w:lineRule="auto"/>
              <w:rPr>
                <w:rFonts w:ascii="Times New Roman" w:hAnsi="Times New Roman"/>
                <w:highlight w:val="green"/>
              </w:rPr>
            </w:pPr>
            <w:r>
              <w:rPr>
                <w:rFonts w:ascii="Times New Roman" w:hAnsi="Times New Roman"/>
                <w:highlight w:val="white"/>
              </w:rPr>
              <w:t>踏勘集中地点：</w:t>
            </w:r>
            <w:bookmarkStart w:id="78" w:name="EB08e00c1308c94a8799c165e85f5f5ca8"/>
            <w:bookmarkEnd w:id="78"/>
          </w:p>
        </w:tc>
      </w:tr>
      <w:tr w14:paraId="3F6D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922A8DF">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1.10.1</w:t>
            </w:r>
          </w:p>
        </w:tc>
        <w:tc>
          <w:tcPr>
            <w:tcW w:w="2657" w:type="dxa"/>
            <w:noWrap w:val="0"/>
            <w:vAlign w:val="top"/>
          </w:tcPr>
          <w:p w14:paraId="48DB4D27">
            <w:pPr>
              <w:spacing w:line="276" w:lineRule="auto"/>
              <w:rPr>
                <w:rFonts w:ascii="Times New Roman" w:hAnsi="Times New Roman"/>
              </w:rPr>
            </w:pPr>
          </w:p>
          <w:p w14:paraId="54A75A52">
            <w:pPr>
              <w:spacing w:line="276" w:lineRule="auto"/>
              <w:rPr>
                <w:rFonts w:ascii="Times New Roman" w:hAnsi="Times New Roman"/>
              </w:rPr>
            </w:pPr>
            <w:r>
              <w:rPr>
                <w:rFonts w:ascii="Times New Roman" w:hAnsi="Times New Roman"/>
                <w:highlight w:val="white"/>
              </w:rPr>
              <w:t>投标预备会</w:t>
            </w:r>
          </w:p>
        </w:tc>
        <w:tc>
          <w:tcPr>
            <w:tcW w:w="4536" w:type="dxa"/>
            <w:noWrap w:val="0"/>
            <w:vAlign w:val="top"/>
          </w:tcPr>
          <w:p w14:paraId="0C2A03D2">
            <w:pPr>
              <w:spacing w:line="276" w:lineRule="auto"/>
              <w:rPr>
                <w:rFonts w:ascii="Times New Roman" w:hAnsi="Times New Roman"/>
              </w:rPr>
            </w:pPr>
            <w:bookmarkStart w:id="79" w:name="EB90f3ebc499c84043870b85a6a0691f28"/>
            <w:r>
              <w:rPr>
                <w:rFonts w:ascii="Segoe UI Symbol" w:hAnsi="Segoe UI Symbol" w:cs="Segoe UI Symbol"/>
                <w:color w:val="0000FF"/>
                <w:highlight w:val="white"/>
              </w:rPr>
              <w:t>☑</w:t>
            </w:r>
            <w:bookmarkEnd w:id="79"/>
            <w:r>
              <w:rPr>
                <w:rFonts w:ascii="Times New Roman" w:hAnsi="Times New Roman"/>
                <w:highlight w:val="white"/>
              </w:rPr>
              <w:t>不召开</w:t>
            </w:r>
          </w:p>
          <w:p w14:paraId="47FB4A3F">
            <w:pPr>
              <w:spacing w:line="276" w:lineRule="auto"/>
              <w:rPr>
                <w:rFonts w:ascii="Times New Roman" w:hAnsi="Times New Roman"/>
              </w:rPr>
            </w:pPr>
            <w:bookmarkStart w:id="80" w:name="EB283475d4305448549f5d6e43170ebd52"/>
            <w:r>
              <w:rPr>
                <w:rFonts w:ascii="Times New Roman" w:hAnsi="Times New Roman"/>
                <w:color w:val="0000FF"/>
                <w:highlight w:val="white"/>
              </w:rPr>
              <w:t>□</w:t>
            </w:r>
            <w:bookmarkEnd w:id="80"/>
            <w:r>
              <w:rPr>
                <w:rFonts w:ascii="Times New Roman" w:hAnsi="Times New Roman"/>
                <w:highlight w:val="white"/>
              </w:rPr>
              <w:t>召开，召开时间：</w:t>
            </w:r>
            <w:bookmarkStart w:id="81" w:name="EB71ba67a5ed3f4e7e857154cefd6f6334"/>
            <w:bookmarkEnd w:id="81"/>
            <w:r>
              <w:rPr>
                <w:rFonts w:hint="eastAsia" w:ascii="Calibri" w:hAnsi="Calibri"/>
                <w:color w:val="0000FF"/>
                <w:kern w:val="2"/>
                <w:sz w:val="21"/>
                <w:szCs w:val="22"/>
                <w:highlight w:val="white"/>
                <w:lang w:val="en-US" w:eastAsia="zh-CN" w:bidi="ar-SA"/>
              </w:rPr>
              <w:t>/</w:t>
            </w:r>
          </w:p>
          <w:p w14:paraId="12741F07">
            <w:pPr>
              <w:spacing w:line="276" w:lineRule="auto"/>
              <w:rPr>
                <w:rFonts w:ascii="Times New Roman" w:hAnsi="Times New Roman"/>
                <w:color w:val="0000FF"/>
                <w:highlight w:val="green"/>
              </w:rPr>
            </w:pPr>
            <w:r>
              <w:rPr>
                <w:rFonts w:ascii="Times New Roman" w:hAnsi="Times New Roman"/>
                <w:highlight w:val="white"/>
              </w:rPr>
              <w:t>召开地点：</w:t>
            </w:r>
            <w:bookmarkStart w:id="82" w:name="EB941454e1194644dcab910d8c192cc142"/>
            <w:bookmarkEnd w:id="82"/>
            <w:r>
              <w:rPr>
                <w:rFonts w:hint="eastAsia" w:ascii="Calibri" w:hAnsi="Calibri"/>
                <w:color w:val="0000FF"/>
                <w:kern w:val="2"/>
                <w:sz w:val="21"/>
                <w:szCs w:val="22"/>
                <w:highlight w:val="white"/>
                <w:lang w:val="en-US" w:eastAsia="zh-CN" w:bidi="ar-SA"/>
              </w:rPr>
              <w:t>/</w:t>
            </w:r>
          </w:p>
        </w:tc>
      </w:tr>
      <w:tr w14:paraId="0A50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7A2E515E">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1.10.2</w:t>
            </w:r>
          </w:p>
        </w:tc>
        <w:tc>
          <w:tcPr>
            <w:tcW w:w="2657" w:type="dxa"/>
            <w:noWrap w:val="0"/>
            <w:vAlign w:val="top"/>
          </w:tcPr>
          <w:p w14:paraId="29BD871C">
            <w:pPr>
              <w:spacing w:line="276" w:lineRule="auto"/>
              <w:rPr>
                <w:rFonts w:ascii="Times New Roman" w:hAnsi="Times New Roman"/>
              </w:rPr>
            </w:pPr>
            <w:r>
              <w:rPr>
                <w:rFonts w:ascii="Times New Roman" w:hAnsi="Times New Roman"/>
                <w:highlight w:val="white"/>
              </w:rPr>
              <w:t>投标人在投标预备会前提出问题的时间</w:t>
            </w:r>
          </w:p>
        </w:tc>
        <w:tc>
          <w:tcPr>
            <w:tcW w:w="4536" w:type="dxa"/>
            <w:noWrap w:val="0"/>
            <w:vAlign w:val="top"/>
          </w:tcPr>
          <w:p w14:paraId="78953662">
            <w:pPr>
              <w:spacing w:line="276" w:lineRule="auto"/>
              <w:rPr>
                <w:rFonts w:ascii="Times New Roman" w:hAnsi="Times New Roman"/>
              </w:rPr>
            </w:pPr>
            <w:r>
              <w:rPr>
                <w:rFonts w:ascii="Times New Roman" w:hAnsi="Times New Roman"/>
                <w:highlight w:val="white"/>
              </w:rPr>
              <w:t>召开投标预备会之日</w:t>
            </w:r>
            <w:bookmarkStart w:id="83" w:name="EBa377e58016ee4ea2994cb39c570364d4"/>
            <w:r>
              <w:rPr>
                <w:rFonts w:ascii="Times New Roman" w:hAnsi="Times New Roman"/>
                <w:color w:val="0000FF"/>
                <w:highlight w:val="white"/>
              </w:rPr>
              <w:t>/</w:t>
            </w:r>
            <w:bookmarkEnd w:id="83"/>
            <w:r>
              <w:rPr>
                <w:rFonts w:ascii="Times New Roman" w:hAnsi="Times New Roman"/>
                <w:highlight w:val="white"/>
              </w:rPr>
              <w:t>日前</w:t>
            </w:r>
          </w:p>
        </w:tc>
      </w:tr>
      <w:tr w14:paraId="679B3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A9A3474">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1.11.1</w:t>
            </w:r>
          </w:p>
        </w:tc>
        <w:tc>
          <w:tcPr>
            <w:tcW w:w="2657" w:type="dxa"/>
            <w:noWrap w:val="0"/>
            <w:vAlign w:val="top"/>
          </w:tcPr>
          <w:p w14:paraId="7EF494F0">
            <w:pPr>
              <w:spacing w:line="276" w:lineRule="auto"/>
              <w:rPr>
                <w:rFonts w:ascii="Times New Roman" w:hAnsi="Times New Roman"/>
              </w:rPr>
            </w:pPr>
          </w:p>
          <w:p w14:paraId="687FC106">
            <w:pPr>
              <w:spacing w:line="276" w:lineRule="auto"/>
              <w:rPr>
                <w:rFonts w:ascii="Times New Roman" w:hAnsi="Times New Roman"/>
              </w:rPr>
            </w:pPr>
          </w:p>
          <w:p w14:paraId="2D01936B">
            <w:pPr>
              <w:spacing w:line="276" w:lineRule="auto"/>
              <w:rPr>
                <w:rFonts w:ascii="Times New Roman" w:hAnsi="Times New Roman"/>
              </w:rPr>
            </w:pPr>
            <w:r>
              <w:rPr>
                <w:rFonts w:ascii="Times New Roman" w:hAnsi="Times New Roman"/>
                <w:highlight w:val="white"/>
              </w:rPr>
              <w:t>分包</w:t>
            </w:r>
          </w:p>
        </w:tc>
        <w:tc>
          <w:tcPr>
            <w:tcW w:w="4536" w:type="dxa"/>
            <w:noWrap w:val="0"/>
            <w:vAlign w:val="top"/>
          </w:tcPr>
          <w:p w14:paraId="1441DF78">
            <w:pPr>
              <w:spacing w:line="276" w:lineRule="auto"/>
              <w:rPr>
                <w:rFonts w:ascii="Times New Roman" w:hAnsi="Times New Roman"/>
              </w:rPr>
            </w:pPr>
            <w:bookmarkStart w:id="84" w:name="EBf475fec7fd724326bc148b6a513b0322"/>
            <w:r>
              <w:rPr>
                <w:rFonts w:ascii="Segoe UI Symbol" w:hAnsi="Segoe UI Symbol" w:cs="Segoe UI Symbol"/>
                <w:color w:val="0000FF"/>
                <w:highlight w:val="white"/>
              </w:rPr>
              <w:t>☑</w:t>
            </w:r>
            <w:bookmarkEnd w:id="84"/>
            <w:r>
              <w:rPr>
                <w:rFonts w:ascii="Times New Roman" w:hAnsi="Times New Roman"/>
                <w:highlight w:val="white"/>
              </w:rPr>
              <w:t>不允许</w:t>
            </w:r>
          </w:p>
          <w:p w14:paraId="2CEEDDFD">
            <w:pPr>
              <w:spacing w:line="276" w:lineRule="auto"/>
              <w:rPr>
                <w:rFonts w:ascii="Times New Roman" w:hAnsi="Times New Roman"/>
              </w:rPr>
            </w:pPr>
            <w:bookmarkStart w:id="85" w:name="EB02ef71f6a9284b138467dde399390bb5"/>
            <w:r>
              <w:rPr>
                <w:rFonts w:ascii="Times New Roman" w:hAnsi="Times New Roman"/>
                <w:color w:val="0000FF"/>
                <w:highlight w:val="white"/>
              </w:rPr>
              <w:t>□</w:t>
            </w:r>
            <w:bookmarkEnd w:id="85"/>
            <w:r>
              <w:rPr>
                <w:rFonts w:ascii="Times New Roman" w:hAnsi="Times New Roman"/>
                <w:highlight w:val="white"/>
              </w:rPr>
              <w:t>允许，分包内容要求：</w:t>
            </w:r>
            <w:bookmarkStart w:id="86" w:name="EBaaa8a118087d454fb96625e67c1fdf2b"/>
            <w:bookmarkEnd w:id="86"/>
            <w:r>
              <w:rPr>
                <w:rFonts w:hint="eastAsia" w:ascii="Calibri" w:hAnsi="Calibri"/>
                <w:color w:val="0000FF"/>
                <w:kern w:val="2"/>
                <w:sz w:val="21"/>
                <w:szCs w:val="22"/>
                <w:highlight w:val="white"/>
                <w:lang w:val="en-US" w:eastAsia="zh-CN" w:bidi="ar-SA"/>
              </w:rPr>
              <w:t>/</w:t>
            </w:r>
          </w:p>
          <w:p w14:paraId="646F3614">
            <w:pPr>
              <w:spacing w:line="276" w:lineRule="auto"/>
              <w:rPr>
                <w:rFonts w:ascii="Times New Roman" w:hAnsi="Times New Roman"/>
                <w:color w:val="0000FF"/>
                <w:highlight w:val="green"/>
              </w:rPr>
            </w:pPr>
            <w:r>
              <w:rPr>
                <w:rFonts w:ascii="Times New Roman" w:hAnsi="Times New Roman"/>
                <w:highlight w:val="white"/>
              </w:rPr>
              <w:t>分包金额要求：</w:t>
            </w:r>
            <w:bookmarkStart w:id="87" w:name="EB2322dfdfcc8740db8f83ae910a3ad712"/>
            <w:bookmarkEnd w:id="87"/>
            <w:r>
              <w:rPr>
                <w:rFonts w:hint="eastAsia" w:ascii="Times New Roman" w:hAnsi="Times New Roman"/>
                <w:highlight w:val="white"/>
                <w:lang w:val="en-US" w:eastAsia="zh-CN"/>
              </w:rPr>
              <w:t>/</w:t>
            </w:r>
            <w:r>
              <w:rPr>
                <w:rFonts w:ascii="Times New Roman" w:hAnsi="Times New Roman"/>
                <w:highlight w:val="white"/>
              </w:rPr>
              <w:t>对分包人的资质要求：</w:t>
            </w:r>
            <w:bookmarkStart w:id="88" w:name="EBad9ac84b06594adf84d21d0b7af419fa"/>
            <w:bookmarkEnd w:id="88"/>
            <w:r>
              <w:rPr>
                <w:rFonts w:hint="eastAsia" w:ascii="Calibri" w:hAnsi="Calibri"/>
                <w:color w:val="0000FF"/>
                <w:kern w:val="2"/>
                <w:sz w:val="21"/>
                <w:szCs w:val="22"/>
                <w:highlight w:val="white"/>
                <w:lang w:val="en-US" w:eastAsia="zh-CN" w:bidi="ar-SA"/>
              </w:rPr>
              <w:t>/</w:t>
            </w:r>
          </w:p>
        </w:tc>
      </w:tr>
      <w:tr w14:paraId="068E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12B3934C">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1.12.3</w:t>
            </w:r>
          </w:p>
        </w:tc>
        <w:tc>
          <w:tcPr>
            <w:tcW w:w="2657" w:type="dxa"/>
            <w:noWrap w:val="0"/>
            <w:vAlign w:val="top"/>
          </w:tcPr>
          <w:p w14:paraId="3C8FB6DD">
            <w:pPr>
              <w:spacing w:line="276" w:lineRule="auto"/>
              <w:rPr>
                <w:rFonts w:ascii="Times New Roman" w:hAnsi="Times New Roman"/>
              </w:rPr>
            </w:pPr>
          </w:p>
          <w:p w14:paraId="1B4A829A">
            <w:pPr>
              <w:spacing w:line="276" w:lineRule="auto"/>
              <w:rPr>
                <w:rFonts w:ascii="Times New Roman" w:hAnsi="Times New Roman"/>
              </w:rPr>
            </w:pPr>
            <w:r>
              <w:rPr>
                <w:rFonts w:ascii="Times New Roman" w:hAnsi="Times New Roman"/>
                <w:highlight w:val="white"/>
              </w:rPr>
              <w:t>偏差</w:t>
            </w:r>
          </w:p>
        </w:tc>
        <w:tc>
          <w:tcPr>
            <w:tcW w:w="4536" w:type="dxa"/>
            <w:noWrap w:val="0"/>
            <w:vAlign w:val="top"/>
          </w:tcPr>
          <w:p w14:paraId="3F7EEE78">
            <w:pPr>
              <w:spacing w:line="276" w:lineRule="auto"/>
              <w:rPr>
                <w:rFonts w:ascii="Times New Roman" w:hAnsi="Times New Roman"/>
              </w:rPr>
            </w:pPr>
            <w:bookmarkStart w:id="89" w:name="EB6ce00aee877842f598e1ce761332fb6d"/>
            <w:r>
              <w:rPr>
                <w:rFonts w:ascii="Times New Roman" w:hAnsi="Times New Roman"/>
                <w:color w:val="0000FF"/>
                <w:highlight w:val="white"/>
              </w:rPr>
              <w:t>□</w:t>
            </w:r>
            <w:bookmarkEnd w:id="89"/>
            <w:r>
              <w:rPr>
                <w:rFonts w:ascii="Times New Roman" w:hAnsi="Times New Roman"/>
                <w:highlight w:val="white"/>
              </w:rPr>
              <w:t>不允许</w:t>
            </w:r>
          </w:p>
          <w:p w14:paraId="504DEAF7">
            <w:pPr>
              <w:spacing w:line="276" w:lineRule="auto"/>
              <w:rPr>
                <w:rFonts w:ascii="Times New Roman" w:hAnsi="Times New Roman"/>
                <w:color w:val="0000FF"/>
                <w:highlight w:val="green"/>
              </w:rPr>
            </w:pPr>
            <w:bookmarkStart w:id="90" w:name="EB7443c6128b934220a8a7d57c5507d844"/>
            <w:r>
              <w:rPr>
                <w:rFonts w:ascii="Segoe UI Symbol" w:hAnsi="Segoe UI Symbol" w:cs="Segoe UI Symbol"/>
                <w:color w:val="0000FF"/>
                <w:highlight w:val="white"/>
              </w:rPr>
              <w:t>☑</w:t>
            </w:r>
            <w:bookmarkEnd w:id="90"/>
            <w:r>
              <w:rPr>
                <w:rFonts w:ascii="Times New Roman" w:hAnsi="Times New Roman"/>
                <w:highlight w:val="white"/>
              </w:rPr>
              <w:t>允许，偏差范围：</w:t>
            </w:r>
            <w:bookmarkStart w:id="91" w:name="EB58140cadfb234ccbbb04ccc9d234a603"/>
            <w:r>
              <w:rPr>
                <w:rFonts w:ascii="Times New Roman" w:hAnsi="Times New Roman"/>
                <w:color w:val="0000FF"/>
              </w:rPr>
              <w:t>详见投标人须知前附表第9.7.5项的补充内容。</w:t>
            </w:r>
            <w:bookmarkEnd w:id="91"/>
            <w:r>
              <w:rPr>
                <w:rFonts w:ascii="Times New Roman" w:hAnsi="Times New Roman"/>
                <w:highlight w:val="white"/>
              </w:rPr>
              <w:t>偏差幅度：</w:t>
            </w:r>
            <w:bookmarkStart w:id="92" w:name="EBebf9bb817bfb407d8ca3be5a10651cd9"/>
            <w:r>
              <w:rPr>
                <w:rFonts w:ascii="Times New Roman" w:hAnsi="Times New Roman"/>
                <w:color w:val="0000FF"/>
                <w:highlight w:val="white"/>
              </w:rPr>
              <w:t>/</w:t>
            </w:r>
            <w:bookmarkEnd w:id="92"/>
          </w:p>
        </w:tc>
      </w:tr>
      <w:tr w14:paraId="218C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EF3492A">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2.1</w:t>
            </w:r>
          </w:p>
        </w:tc>
        <w:tc>
          <w:tcPr>
            <w:tcW w:w="2657" w:type="dxa"/>
            <w:noWrap w:val="0"/>
            <w:vAlign w:val="top"/>
          </w:tcPr>
          <w:p w14:paraId="37C0B114">
            <w:pPr>
              <w:spacing w:line="276" w:lineRule="auto"/>
              <w:rPr>
                <w:rFonts w:ascii="Times New Roman" w:hAnsi="Times New Roman"/>
              </w:rPr>
            </w:pPr>
            <w:r>
              <w:rPr>
                <w:rFonts w:ascii="Times New Roman" w:hAnsi="Times New Roman"/>
                <w:highlight w:val="white"/>
              </w:rPr>
              <w:t>构成招标文件的其他资料</w:t>
            </w:r>
          </w:p>
        </w:tc>
        <w:tc>
          <w:tcPr>
            <w:tcW w:w="4536" w:type="dxa"/>
            <w:noWrap w:val="0"/>
            <w:vAlign w:val="top"/>
          </w:tcPr>
          <w:p w14:paraId="495B030E">
            <w:pPr>
              <w:spacing w:line="276" w:lineRule="auto"/>
              <w:rPr>
                <w:rFonts w:hint="eastAsia" w:ascii="Times New Roman" w:hAnsi="Times New Roman"/>
                <w:color w:val="0000FF"/>
                <w:highlight w:val="white"/>
              </w:rPr>
            </w:pPr>
            <w:bookmarkStart w:id="93" w:name="EB0ec5ea73bca340e4bf2191005cd1565f"/>
            <w:r>
              <w:rPr>
                <w:rFonts w:hint="eastAsia" w:ascii="Times New Roman" w:hAnsi="Times New Roman"/>
                <w:color w:val="0000FF"/>
                <w:highlight w:val="white"/>
              </w:rPr>
              <w:t>1、澄清和修改内容将以编号的补遗书形式通知</w:t>
            </w:r>
          </w:p>
          <w:p w14:paraId="00767BA3">
            <w:pPr>
              <w:spacing w:line="276" w:lineRule="auto"/>
              <w:rPr>
                <w:rFonts w:ascii="Times New Roman" w:hAnsi="Times New Roman"/>
                <w:highlight w:val="green"/>
              </w:rPr>
            </w:pPr>
            <w:r>
              <w:rPr>
                <w:rFonts w:hint="eastAsia" w:ascii="Times New Roman" w:hAnsi="Times New Roman"/>
                <w:color w:val="0000FF"/>
                <w:highlight w:val="white"/>
              </w:rPr>
              <w:t>投标人，补遗书将在湖北省公共资源交易电子服务系统(网址：www.hbggzyfwpt.cn)上公布，各投标人注意定期登录、查询、下载。补遗书作为招标文件的组成部分，对所有投标人均具有约束力。 2、《评标告诫书》。 3、招标文件评标办法附件-《可能低于成本或者影响履约的异常低价说明、证明材料表》。</w:t>
            </w:r>
            <w:bookmarkEnd w:id="93"/>
          </w:p>
        </w:tc>
      </w:tr>
      <w:tr w14:paraId="0FA3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5EA5E83">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2.2.1</w:t>
            </w:r>
          </w:p>
        </w:tc>
        <w:tc>
          <w:tcPr>
            <w:tcW w:w="2657" w:type="dxa"/>
            <w:noWrap w:val="0"/>
            <w:vAlign w:val="top"/>
          </w:tcPr>
          <w:p w14:paraId="7D2B8A5B">
            <w:pPr>
              <w:spacing w:line="276" w:lineRule="auto"/>
              <w:rPr>
                <w:rFonts w:ascii="Times New Roman" w:hAnsi="Times New Roman"/>
              </w:rPr>
            </w:pPr>
            <w:r>
              <w:rPr>
                <w:rFonts w:ascii="Times New Roman" w:hAnsi="Times New Roman"/>
                <w:highlight w:val="white"/>
              </w:rPr>
              <w:t>投标人要求澄清招标文件的时间</w:t>
            </w:r>
          </w:p>
        </w:tc>
        <w:tc>
          <w:tcPr>
            <w:tcW w:w="4536" w:type="dxa"/>
            <w:noWrap w:val="0"/>
            <w:vAlign w:val="top"/>
          </w:tcPr>
          <w:p w14:paraId="2CF3927C">
            <w:pPr>
              <w:spacing w:line="276" w:lineRule="auto"/>
              <w:rPr>
                <w:rFonts w:ascii="Times New Roman" w:hAnsi="Times New Roman"/>
                <w:highlight w:val="green"/>
              </w:rPr>
            </w:pPr>
            <w:r>
              <w:rPr>
                <w:rFonts w:ascii="Times New Roman" w:hAnsi="Times New Roman"/>
                <w:highlight w:val="white"/>
              </w:rPr>
              <w:t>递交投标文件截止之日</w:t>
            </w:r>
            <w:bookmarkStart w:id="94" w:name="EB0d7aaf34dafe4b6cb6681ef530d39978"/>
            <w:r>
              <w:rPr>
                <w:rFonts w:ascii="Times New Roman" w:hAnsi="Times New Roman"/>
                <w:color w:val="0000FF"/>
                <w:highlight w:val="white"/>
              </w:rPr>
              <w:t>1</w:t>
            </w:r>
            <w:bookmarkEnd w:id="94"/>
            <w:r>
              <w:rPr>
                <w:rFonts w:hint="eastAsia" w:ascii="Times New Roman" w:hAnsi="Times New Roman"/>
                <w:color w:val="0000FF"/>
                <w:highlight w:val="white"/>
                <w:lang w:val="en-US" w:eastAsia="zh-CN"/>
              </w:rPr>
              <w:t>6</w:t>
            </w:r>
            <w:r>
              <w:rPr>
                <w:rFonts w:ascii="Times New Roman" w:hAnsi="Times New Roman"/>
                <w:highlight w:val="white"/>
              </w:rPr>
              <w:t>日前</w:t>
            </w:r>
          </w:p>
        </w:tc>
      </w:tr>
      <w:tr w14:paraId="5DA0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5C6A30DB">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3.1.1</w:t>
            </w:r>
          </w:p>
        </w:tc>
        <w:tc>
          <w:tcPr>
            <w:tcW w:w="2657" w:type="dxa"/>
            <w:noWrap w:val="0"/>
            <w:vAlign w:val="top"/>
          </w:tcPr>
          <w:p w14:paraId="4B7A9FE2">
            <w:pPr>
              <w:spacing w:line="276" w:lineRule="auto"/>
              <w:rPr>
                <w:rFonts w:ascii="Times New Roman" w:hAnsi="Times New Roman"/>
              </w:rPr>
            </w:pPr>
            <w:r>
              <w:rPr>
                <w:rFonts w:ascii="Times New Roman" w:hAnsi="Times New Roman"/>
                <w:highlight w:val="white"/>
              </w:rPr>
              <w:t>构成投标文件的其他材料</w:t>
            </w:r>
          </w:p>
        </w:tc>
        <w:tc>
          <w:tcPr>
            <w:tcW w:w="4536" w:type="dxa"/>
            <w:noWrap w:val="0"/>
            <w:vAlign w:val="top"/>
          </w:tcPr>
          <w:p w14:paraId="0F364583">
            <w:pPr>
              <w:spacing w:line="276" w:lineRule="auto"/>
              <w:rPr>
                <w:rFonts w:ascii="Times New Roman" w:hAnsi="Times New Roman"/>
                <w:color w:val="0000FF"/>
                <w:highlight w:val="green"/>
              </w:rPr>
            </w:pPr>
            <w:bookmarkStart w:id="95" w:name="EB6457e310fab4469585e2befaa9a46744"/>
            <w:r>
              <w:rPr>
                <w:rFonts w:ascii="Times New Roman" w:hAnsi="Times New Roman"/>
                <w:color w:val="0000FF"/>
                <w:highlight w:val="white"/>
              </w:rPr>
              <w:t>/</w:t>
            </w:r>
            <w:bookmarkEnd w:id="95"/>
          </w:p>
        </w:tc>
      </w:tr>
      <w:tr w14:paraId="3896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0179086">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3.2.1</w:t>
            </w:r>
          </w:p>
        </w:tc>
        <w:tc>
          <w:tcPr>
            <w:tcW w:w="2657" w:type="dxa"/>
            <w:noWrap w:val="0"/>
            <w:vAlign w:val="top"/>
          </w:tcPr>
          <w:p w14:paraId="1688A53C">
            <w:pPr>
              <w:spacing w:line="276" w:lineRule="auto"/>
              <w:rPr>
                <w:rFonts w:ascii="Times New Roman" w:hAnsi="Times New Roman"/>
              </w:rPr>
            </w:pPr>
            <w:r>
              <w:rPr>
                <w:rFonts w:ascii="Times New Roman" w:hAnsi="Times New Roman"/>
                <w:highlight w:val="white"/>
              </w:rPr>
              <w:t>增值税税金的计算方法</w:t>
            </w:r>
          </w:p>
        </w:tc>
        <w:tc>
          <w:tcPr>
            <w:tcW w:w="4536" w:type="dxa"/>
            <w:noWrap w:val="0"/>
            <w:vAlign w:val="top"/>
          </w:tcPr>
          <w:p w14:paraId="2117CE6D">
            <w:pPr>
              <w:spacing w:line="276" w:lineRule="auto"/>
              <w:rPr>
                <w:rFonts w:ascii="Times New Roman" w:hAnsi="Times New Roman"/>
                <w:color w:val="0000FF"/>
                <w:highlight w:val="green"/>
              </w:rPr>
            </w:pPr>
            <w:bookmarkStart w:id="96" w:name="EB239642eaf9484a4bb8515872c38ffc97"/>
            <w:r>
              <w:rPr>
                <w:rFonts w:ascii="Times New Roman" w:hAnsi="Times New Roman"/>
                <w:color w:val="0000FF"/>
                <w:highlight w:val="white"/>
              </w:rPr>
              <w:t>按一般计税方法计算</w:t>
            </w:r>
            <w:bookmarkEnd w:id="96"/>
          </w:p>
        </w:tc>
      </w:tr>
      <w:tr w14:paraId="3C5DE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7250B05">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3.2.3</w:t>
            </w:r>
          </w:p>
        </w:tc>
        <w:tc>
          <w:tcPr>
            <w:tcW w:w="2657" w:type="dxa"/>
            <w:noWrap w:val="0"/>
            <w:vAlign w:val="top"/>
          </w:tcPr>
          <w:p w14:paraId="0EC753DA">
            <w:pPr>
              <w:spacing w:line="276" w:lineRule="auto"/>
              <w:rPr>
                <w:rFonts w:ascii="Times New Roman" w:hAnsi="Times New Roman"/>
              </w:rPr>
            </w:pPr>
            <w:r>
              <w:rPr>
                <w:rFonts w:ascii="Times New Roman" w:hAnsi="Times New Roman"/>
                <w:highlight w:val="white"/>
              </w:rPr>
              <w:t>报价方式</w:t>
            </w:r>
          </w:p>
        </w:tc>
        <w:tc>
          <w:tcPr>
            <w:tcW w:w="4536" w:type="dxa"/>
            <w:noWrap w:val="0"/>
            <w:vAlign w:val="top"/>
          </w:tcPr>
          <w:p w14:paraId="501A2196">
            <w:pPr>
              <w:spacing w:line="276" w:lineRule="auto"/>
              <w:rPr>
                <w:rFonts w:ascii="Times New Roman" w:hAnsi="Times New Roman"/>
                <w:color w:val="0000FF"/>
                <w:highlight w:val="green"/>
              </w:rPr>
            </w:pPr>
            <w:bookmarkStart w:id="97" w:name="EB768b1da306ad4dff998c0b2dba4583f8"/>
            <w:r>
              <w:rPr>
                <w:rFonts w:ascii="Times New Roman" w:hAnsi="Times New Roman"/>
                <w:color w:val="0000FF"/>
                <w:highlight w:val="white"/>
              </w:rPr>
              <w:t>总价</w:t>
            </w:r>
            <w:bookmarkEnd w:id="97"/>
          </w:p>
        </w:tc>
      </w:tr>
      <w:tr w14:paraId="36FAC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585706D0">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3.2.4（A）</w:t>
            </w:r>
          </w:p>
        </w:tc>
        <w:tc>
          <w:tcPr>
            <w:tcW w:w="2657" w:type="dxa"/>
            <w:noWrap w:val="0"/>
            <w:vAlign w:val="top"/>
          </w:tcPr>
          <w:p w14:paraId="4815F48F">
            <w:pPr>
              <w:spacing w:line="276" w:lineRule="auto"/>
              <w:rPr>
                <w:rFonts w:ascii="Times New Roman" w:hAnsi="Times New Roman"/>
              </w:rPr>
            </w:pPr>
            <w:r>
              <w:rPr>
                <w:rFonts w:ascii="Times New Roman" w:hAnsi="Times New Roman"/>
                <w:highlight w:val="white"/>
              </w:rPr>
              <w:t>最高投标限价</w:t>
            </w:r>
          </w:p>
        </w:tc>
        <w:tc>
          <w:tcPr>
            <w:tcW w:w="4536" w:type="dxa"/>
            <w:noWrap w:val="0"/>
            <w:vAlign w:val="top"/>
          </w:tcPr>
          <w:p w14:paraId="1E978707">
            <w:pPr>
              <w:spacing w:line="276" w:lineRule="auto"/>
              <w:rPr>
                <w:rFonts w:ascii="Times New Roman" w:hAnsi="Times New Roman"/>
              </w:rPr>
            </w:pPr>
            <w:bookmarkStart w:id="98" w:name="EBc159c89f259444a09ff5923409908047"/>
            <w:r>
              <w:rPr>
                <w:rFonts w:ascii="Times New Roman" w:hAnsi="Times New Roman"/>
                <w:color w:val="0000FF"/>
                <w:highlight w:val="white"/>
              </w:rPr>
              <w:t>□</w:t>
            </w:r>
            <w:bookmarkEnd w:id="98"/>
            <w:r>
              <w:rPr>
                <w:rFonts w:ascii="Times New Roman" w:hAnsi="Times New Roman"/>
                <w:highlight w:val="white"/>
              </w:rPr>
              <w:t>无</w:t>
            </w:r>
          </w:p>
          <w:p w14:paraId="2DADF073">
            <w:pPr>
              <w:spacing w:line="276" w:lineRule="auto"/>
              <w:rPr>
                <w:rFonts w:ascii="Times New Roman" w:hAnsi="Times New Roman"/>
                <w:highlight w:val="green"/>
              </w:rPr>
            </w:pPr>
            <w:bookmarkStart w:id="99" w:name="EBad969a95beff434cb9e74a119ac0fe8a"/>
            <w:r>
              <w:rPr>
                <w:rFonts w:ascii="Segoe UI Symbol" w:hAnsi="Segoe UI Symbol" w:cs="Segoe UI Symbol"/>
                <w:color w:val="0000FF"/>
                <w:highlight w:val="white"/>
              </w:rPr>
              <w:t>☑</w:t>
            </w:r>
            <w:bookmarkEnd w:id="99"/>
            <w:r>
              <w:rPr>
                <w:rFonts w:ascii="Times New Roman" w:hAnsi="Times New Roman"/>
                <w:highlight w:val="white"/>
              </w:rPr>
              <w:t>有，</w:t>
            </w:r>
            <w:r>
              <w:rPr>
                <w:rFonts w:ascii="Times New Roman" w:hAnsi="Times New Roman"/>
                <w:highlight w:val="none"/>
              </w:rPr>
              <w:t>最高投标限价为</w:t>
            </w:r>
            <w:bookmarkStart w:id="100" w:name="EBc24c5c33bcb74e7ea1618de3d1481211"/>
            <w:bookmarkEnd w:id="100"/>
            <w:r>
              <w:rPr>
                <w:rFonts w:hint="eastAsia" w:ascii="Times New Roman" w:hAnsi="Times New Roman"/>
                <w:highlight w:val="none"/>
              </w:rPr>
              <w:t>在开标15天前公布在湖北省电子招投标交易平台（网址：</w:t>
            </w:r>
            <w:r>
              <w:rPr>
                <w:rFonts w:hint="eastAsia" w:ascii="Times New Roman" w:hAnsi="Times New Roman"/>
                <w:highlight w:val="none"/>
              </w:rPr>
              <w:fldChar w:fldCharType="begin"/>
            </w:r>
            <w:r>
              <w:rPr>
                <w:rFonts w:hint="eastAsia" w:ascii="Times New Roman" w:hAnsi="Times New Roman"/>
                <w:highlight w:val="none"/>
              </w:rPr>
              <w:instrText xml:space="preserve"> HYPERLINK "http://www.hbbidcloud.cn）上发布" </w:instrText>
            </w:r>
            <w:r>
              <w:rPr>
                <w:rFonts w:hint="eastAsia" w:ascii="Times New Roman" w:hAnsi="Times New Roman"/>
                <w:highlight w:val="none"/>
              </w:rPr>
              <w:fldChar w:fldCharType="separate"/>
            </w:r>
            <w:r>
              <w:rPr>
                <w:rStyle w:val="27"/>
                <w:rFonts w:hint="eastAsia" w:ascii="Times New Roman" w:hAnsi="Times New Roman"/>
                <w:highlight w:val="none"/>
              </w:rPr>
              <w:t>www.hbbidcloud.cn）</w:t>
            </w:r>
            <w:r>
              <w:rPr>
                <w:rStyle w:val="27"/>
                <w:rFonts w:hint="eastAsia" w:ascii="Times New Roman" w:hAnsi="Times New Roman"/>
                <w:highlight w:val="none"/>
                <w:lang w:val="en-US" w:eastAsia="zh-CN"/>
              </w:rPr>
              <w:t>上发布</w:t>
            </w:r>
            <w:r>
              <w:rPr>
                <w:rFonts w:hint="eastAsia" w:ascii="Times New Roman" w:hAnsi="Times New Roman"/>
                <w:highlight w:val="none"/>
              </w:rPr>
              <w:fldChar w:fldCharType="end"/>
            </w:r>
            <w:r>
              <w:rPr>
                <w:rFonts w:hint="eastAsia" w:ascii="Times New Roman" w:hAnsi="Times New Roman"/>
                <w:highlight w:val="none"/>
              </w:rPr>
              <w:t>，各投标人注意定期查询下载。备注：投标报价不得超过最高投标限价，否则其投标将被否决。</w:t>
            </w:r>
          </w:p>
        </w:tc>
      </w:tr>
      <w:tr w14:paraId="4A72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63255C6">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3.2.4（B）</w:t>
            </w:r>
          </w:p>
        </w:tc>
        <w:tc>
          <w:tcPr>
            <w:tcW w:w="2657" w:type="dxa"/>
            <w:noWrap w:val="0"/>
            <w:vAlign w:val="top"/>
          </w:tcPr>
          <w:p w14:paraId="16C30EA5">
            <w:pPr>
              <w:spacing w:line="276" w:lineRule="auto"/>
              <w:rPr>
                <w:rFonts w:ascii="Times New Roman" w:hAnsi="Times New Roman"/>
              </w:rPr>
            </w:pPr>
            <w:r>
              <w:rPr>
                <w:rFonts w:ascii="Times New Roman" w:hAnsi="Times New Roman"/>
                <w:highlight w:val="white"/>
              </w:rPr>
              <w:t>最低投标限价</w:t>
            </w:r>
          </w:p>
        </w:tc>
        <w:tc>
          <w:tcPr>
            <w:tcW w:w="4536" w:type="dxa"/>
            <w:noWrap w:val="0"/>
            <w:vAlign w:val="top"/>
          </w:tcPr>
          <w:p w14:paraId="7FE64F5E">
            <w:pPr>
              <w:spacing w:line="276" w:lineRule="auto"/>
              <w:rPr>
                <w:rFonts w:ascii="Times New Roman" w:hAnsi="Times New Roman"/>
              </w:rPr>
            </w:pPr>
            <w:bookmarkStart w:id="101" w:name="EB6bf46c4bea9842aea0d4dbb46b792eea"/>
            <w:r>
              <w:rPr>
                <w:rFonts w:ascii="Segoe UI Symbol" w:hAnsi="Segoe UI Symbol" w:cs="Segoe UI Symbol"/>
                <w:color w:val="0000FF"/>
                <w:highlight w:val="white"/>
              </w:rPr>
              <w:t>☑</w:t>
            </w:r>
            <w:bookmarkEnd w:id="101"/>
            <w:r>
              <w:rPr>
                <w:rFonts w:ascii="Times New Roman" w:hAnsi="Times New Roman"/>
                <w:highlight w:val="white"/>
              </w:rPr>
              <w:t>无</w:t>
            </w:r>
          </w:p>
          <w:p w14:paraId="1B7485F4">
            <w:pPr>
              <w:spacing w:line="276" w:lineRule="auto"/>
              <w:rPr>
                <w:rFonts w:ascii="Times New Roman" w:hAnsi="Times New Roman"/>
                <w:highlight w:val="green"/>
              </w:rPr>
            </w:pPr>
            <w:bookmarkStart w:id="102" w:name="EBf8ae34a3b51f4b87a1424cb36bee63e1"/>
            <w:r>
              <w:rPr>
                <w:rFonts w:ascii="Times New Roman" w:hAnsi="Times New Roman"/>
                <w:color w:val="0000FF"/>
                <w:highlight w:val="white"/>
              </w:rPr>
              <w:t>□</w:t>
            </w:r>
            <w:bookmarkEnd w:id="102"/>
            <w:r>
              <w:rPr>
                <w:rFonts w:ascii="Times New Roman" w:hAnsi="Times New Roman"/>
                <w:highlight w:val="white"/>
              </w:rPr>
              <w:t>有，最低投标限价为</w:t>
            </w:r>
            <w:bookmarkStart w:id="103" w:name="EBd3e4f8602c9f4ea785e6ce703d4e3535"/>
            <w:bookmarkEnd w:id="103"/>
          </w:p>
        </w:tc>
      </w:tr>
      <w:tr w14:paraId="4F5B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8EDEBF3">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3.2.5</w:t>
            </w:r>
          </w:p>
        </w:tc>
        <w:tc>
          <w:tcPr>
            <w:tcW w:w="2657" w:type="dxa"/>
            <w:noWrap w:val="0"/>
            <w:vAlign w:val="top"/>
          </w:tcPr>
          <w:p w14:paraId="1B3AB334">
            <w:pPr>
              <w:spacing w:line="276" w:lineRule="auto"/>
              <w:rPr>
                <w:rFonts w:ascii="Times New Roman" w:hAnsi="Times New Roman"/>
                <w:highlight w:val="none"/>
              </w:rPr>
            </w:pPr>
            <w:r>
              <w:rPr>
                <w:rFonts w:ascii="Times New Roman" w:hAnsi="Times New Roman"/>
                <w:highlight w:val="none"/>
              </w:rPr>
              <w:t>投标报价的其他要求</w:t>
            </w:r>
          </w:p>
        </w:tc>
        <w:tc>
          <w:tcPr>
            <w:tcW w:w="4536" w:type="dxa"/>
            <w:noWrap w:val="0"/>
            <w:vAlign w:val="top"/>
          </w:tcPr>
          <w:p w14:paraId="39555A09">
            <w:pPr>
              <w:spacing w:line="276" w:lineRule="auto"/>
              <w:rPr>
                <w:rFonts w:ascii="Times New Roman" w:hAnsi="Times New Roman" w:eastAsia="宋体" w:cs="Times New Roman"/>
                <w:color w:val="0000FF"/>
                <w:sz w:val="21"/>
                <w:szCs w:val="22"/>
                <w:highlight w:val="none"/>
              </w:rPr>
            </w:pPr>
            <w:bookmarkStart w:id="104" w:name="EBc570a5b9dd6341ed9adbb1239aac7f6c"/>
            <w:bookmarkEnd w:id="104"/>
            <w:r>
              <w:rPr>
                <w:rFonts w:ascii="Times New Roman" w:hAnsi="Times New Roman" w:eastAsia="宋体" w:cs="Times New Roman"/>
                <w:color w:val="0000FF"/>
                <w:highlight w:val="none"/>
              </w:rPr>
              <w:t>3.2.5.1</w:t>
            </w:r>
            <w:r>
              <w:rPr>
                <w:rFonts w:hint="default" w:ascii="Times New Roman" w:hAnsi="Times New Roman" w:eastAsia="宋体" w:cs="Times New Roman"/>
                <w:color w:val="0000FF"/>
                <w:highlight w:val="none"/>
              </w:rPr>
              <w:t>投标报价是投标人按照招标文件的要求完成本项目</w:t>
            </w:r>
            <w:r>
              <w:rPr>
                <w:rFonts w:hint="eastAsia" w:ascii="Times New Roman" w:hAnsi="Times New Roman" w:eastAsia="宋体" w:cs="Times New Roman"/>
                <w:color w:val="0000FF"/>
                <w:highlight w:val="none"/>
                <w:lang w:eastAsia="zh-CN"/>
              </w:rPr>
              <w:t>高边坡监测服务</w:t>
            </w:r>
            <w:r>
              <w:rPr>
                <w:rFonts w:hint="default" w:ascii="Times New Roman" w:hAnsi="Times New Roman" w:eastAsia="宋体" w:cs="Times New Roman"/>
                <w:color w:val="0000FF"/>
                <w:highlight w:val="none"/>
              </w:rPr>
              <w:t>工作所需的费用，实行总价包干，在合同执行期间除按合同相应条款规定调整合同总价外，其他情况均不予调整。报价内容包括但不限于如下内容：</w:t>
            </w:r>
            <w:r>
              <w:rPr>
                <w:rFonts w:hint="default" w:ascii="Times New Roman" w:hAnsi="Times New Roman" w:eastAsia="宋体" w:cs="Times New Roman"/>
                <w:color w:val="0000FF"/>
                <w:sz w:val="21"/>
                <w:szCs w:val="22"/>
                <w:highlight w:val="none"/>
              </w:rPr>
              <w:t>人员费、交通费、差旅费、</w:t>
            </w:r>
            <w:r>
              <w:rPr>
                <w:rFonts w:hint="default" w:ascii="Times New Roman" w:hAnsi="Times New Roman" w:eastAsia="宋体" w:cs="Times New Roman"/>
                <w:color w:val="0000FF"/>
                <w:sz w:val="21"/>
                <w:szCs w:val="22"/>
                <w:highlight w:val="none"/>
                <w:lang w:val="en-US" w:eastAsia="zh-CN"/>
              </w:rPr>
              <w:t>评审费、</w:t>
            </w:r>
            <w:r>
              <w:rPr>
                <w:rFonts w:hint="default" w:ascii="Times New Roman" w:hAnsi="Times New Roman" w:eastAsia="宋体" w:cs="Times New Roman"/>
                <w:color w:val="0000FF"/>
                <w:sz w:val="21"/>
                <w:szCs w:val="22"/>
                <w:highlight w:val="none"/>
              </w:rPr>
              <w:t>仪器、设备购置费、材料费（因监测需要预埋的各种元器件）、</w:t>
            </w:r>
            <w:r>
              <w:rPr>
                <w:rFonts w:hint="default" w:ascii="Times New Roman" w:hAnsi="Times New Roman" w:eastAsia="宋体" w:cs="Times New Roman"/>
                <w:color w:val="0000FF"/>
                <w:sz w:val="21"/>
                <w:szCs w:val="22"/>
                <w:highlight w:val="none"/>
                <w:lang w:val="en-US" w:eastAsia="zh-CN"/>
              </w:rPr>
              <w:t>试验检测费、</w:t>
            </w:r>
            <w:r>
              <w:rPr>
                <w:rFonts w:hint="default" w:ascii="Times New Roman" w:hAnsi="Times New Roman" w:eastAsia="宋体" w:cs="Times New Roman"/>
                <w:color w:val="0000FF"/>
                <w:sz w:val="21"/>
                <w:szCs w:val="22"/>
                <w:highlight w:val="none"/>
              </w:rPr>
              <w:t>调研费、</w:t>
            </w:r>
            <w:r>
              <w:rPr>
                <w:rFonts w:hint="default" w:ascii="Times New Roman" w:hAnsi="Times New Roman" w:eastAsia="宋体" w:cs="Times New Roman"/>
                <w:color w:val="0000FF"/>
                <w:sz w:val="21"/>
                <w:szCs w:val="22"/>
                <w:highlight w:val="none"/>
                <w:lang w:val="en-US" w:eastAsia="zh-CN"/>
              </w:rPr>
              <w:t>监测费、</w:t>
            </w:r>
            <w:r>
              <w:rPr>
                <w:rFonts w:hint="default" w:ascii="Times New Roman" w:hAnsi="Times New Roman" w:eastAsia="宋体" w:cs="Times New Roman"/>
                <w:color w:val="0000FF"/>
                <w:sz w:val="21"/>
                <w:szCs w:val="22"/>
                <w:highlight w:val="none"/>
              </w:rPr>
              <w:t>出版费、用于监测的工程设施的修建与拆除费、</w:t>
            </w:r>
            <w:r>
              <w:rPr>
                <w:rFonts w:hint="default" w:ascii="Times New Roman" w:hAnsi="Times New Roman" w:eastAsia="宋体" w:cs="Times New Roman"/>
                <w:color w:val="0000FF"/>
                <w:sz w:val="21"/>
                <w:szCs w:val="22"/>
                <w:highlight w:val="none"/>
                <w:lang w:val="en-US" w:eastAsia="zh-CN"/>
              </w:rPr>
              <w:t>管理费、咨询费、编制费、论文发表费、</w:t>
            </w:r>
            <w:r>
              <w:rPr>
                <w:rFonts w:hint="default" w:ascii="Times New Roman" w:hAnsi="Times New Roman" w:eastAsia="宋体" w:cs="Times New Roman"/>
                <w:color w:val="0000FF"/>
                <w:sz w:val="21"/>
                <w:szCs w:val="22"/>
                <w:highlight w:val="none"/>
              </w:rPr>
              <w:t>后续服务费、</w:t>
            </w:r>
            <w:r>
              <w:rPr>
                <w:rFonts w:hint="default" w:ascii="Times New Roman" w:hAnsi="Times New Roman" w:eastAsia="宋体" w:cs="Times New Roman"/>
                <w:color w:val="0000FF"/>
                <w:sz w:val="21"/>
                <w:szCs w:val="22"/>
                <w:highlight w:val="none"/>
                <w:lang w:val="en-US" w:eastAsia="zh-CN"/>
              </w:rPr>
              <w:t>培训费、</w:t>
            </w:r>
            <w:r>
              <w:rPr>
                <w:rFonts w:hint="default" w:ascii="Times New Roman" w:hAnsi="Times New Roman" w:eastAsia="宋体" w:cs="Times New Roman"/>
                <w:color w:val="0000FF"/>
                <w:sz w:val="21"/>
                <w:szCs w:val="22"/>
                <w:highlight w:val="none"/>
              </w:rPr>
              <w:t>税费</w:t>
            </w:r>
            <w:r>
              <w:rPr>
                <w:rFonts w:hint="default" w:ascii="Times New Roman" w:hAnsi="Times New Roman" w:eastAsia="宋体" w:cs="Times New Roman"/>
                <w:color w:val="0000FF"/>
                <w:sz w:val="21"/>
                <w:szCs w:val="22"/>
                <w:highlight w:val="none"/>
                <w:lang w:eastAsia="zh-CN"/>
              </w:rPr>
              <w:t>、</w:t>
            </w:r>
            <w:r>
              <w:rPr>
                <w:rFonts w:hint="default" w:ascii="Times New Roman" w:hAnsi="Times New Roman" w:eastAsia="宋体" w:cs="Times New Roman"/>
                <w:color w:val="0000FF"/>
                <w:sz w:val="21"/>
                <w:szCs w:val="22"/>
                <w:highlight w:val="none"/>
                <w:lang w:val="en-US" w:eastAsia="zh-CN"/>
              </w:rPr>
              <w:t>利润</w:t>
            </w:r>
            <w:r>
              <w:rPr>
                <w:rFonts w:hint="default" w:ascii="Times New Roman" w:hAnsi="Times New Roman" w:eastAsia="宋体" w:cs="Times New Roman"/>
                <w:color w:val="0000FF"/>
                <w:sz w:val="21"/>
                <w:szCs w:val="22"/>
                <w:highlight w:val="none"/>
              </w:rPr>
              <w:t>等相关费用</w:t>
            </w:r>
            <w:r>
              <w:rPr>
                <w:rFonts w:ascii="Times New Roman" w:hAnsi="Times New Roman" w:eastAsia="宋体" w:cs="Times New Roman"/>
                <w:color w:val="0000FF"/>
                <w:sz w:val="21"/>
                <w:szCs w:val="22"/>
                <w:highlight w:val="none"/>
              </w:rPr>
              <w:t>，</w:t>
            </w:r>
            <w:r>
              <w:rPr>
                <w:rFonts w:hint="default" w:ascii="Times New Roman" w:hAnsi="Times New Roman" w:eastAsia="宋体" w:cs="Times New Roman"/>
                <w:color w:val="0000FF"/>
                <w:sz w:val="21"/>
                <w:szCs w:val="22"/>
                <w:highlight w:val="none"/>
                <w:lang w:val="en-US" w:eastAsia="zh-CN"/>
              </w:rPr>
              <w:t>招标人</w:t>
            </w:r>
            <w:r>
              <w:rPr>
                <w:rFonts w:ascii="Times New Roman" w:hAnsi="Times New Roman" w:eastAsia="宋体" w:cs="Times New Roman"/>
                <w:color w:val="0000FF"/>
                <w:sz w:val="21"/>
                <w:szCs w:val="22"/>
                <w:highlight w:val="none"/>
              </w:rPr>
              <w:t>不另行支付。</w:t>
            </w:r>
          </w:p>
          <w:p w14:paraId="5841C7BD">
            <w:pPr>
              <w:spacing w:line="276" w:lineRule="auto"/>
              <w:rPr>
                <w:rFonts w:ascii="Times New Roman" w:hAnsi="Times New Roman" w:eastAsia="宋体" w:cs="Times New Roman"/>
                <w:color w:val="0000FF"/>
                <w:sz w:val="21"/>
                <w:szCs w:val="22"/>
                <w:highlight w:val="none"/>
              </w:rPr>
            </w:pPr>
            <w:r>
              <w:rPr>
                <w:rFonts w:hint="default" w:ascii="Times New Roman" w:hAnsi="Times New Roman"/>
                <w:color w:val="0000FF"/>
                <w:sz w:val="21"/>
                <w:szCs w:val="22"/>
                <w:highlight w:val="none"/>
              </w:rPr>
              <w:t>3.2.5.2投标人应按照本招标文件第五章中服务主要依据的规定完成相应的服务工作内容和数量，因国家相关法律法规政策的变化、行业标准规定对服务方案的影响引起的费用变化均由投标人在报价中综合考虑，招标人不另行支付。</w:t>
            </w:r>
          </w:p>
          <w:p w14:paraId="142F67CB">
            <w:pPr>
              <w:spacing w:line="276" w:lineRule="auto"/>
              <w:rPr>
                <w:rFonts w:hint="default" w:ascii="Times New Roman" w:hAnsi="Times New Roman"/>
                <w:color w:val="0000FF"/>
                <w:highlight w:val="none"/>
              </w:rPr>
            </w:pPr>
            <w:r>
              <w:rPr>
                <w:rFonts w:hint="default" w:ascii="Times New Roman" w:hAnsi="Times New Roman"/>
                <w:color w:val="0000FF"/>
                <w:highlight w:val="none"/>
              </w:rPr>
              <w:t>3.2.5.3投标人为完成合同所需的全部办公及生活设施费、观测设施费、交通费、通讯费、食宿费等均由投标人承担，均包含在投标报价中，招标人不另行支付</w:t>
            </w:r>
            <w:r>
              <w:rPr>
                <w:rFonts w:hint="eastAsia" w:ascii="Times New Roman" w:hAnsi="Times New Roman"/>
                <w:color w:val="0000FF"/>
                <w:highlight w:val="none"/>
                <w:lang w:eastAsia="zh-CN"/>
              </w:rPr>
              <w:t>。</w:t>
            </w:r>
            <w:r>
              <w:rPr>
                <w:rFonts w:hint="default" w:ascii="Times New Roman" w:hAnsi="Times New Roman"/>
                <w:color w:val="0000FF"/>
                <w:highlight w:val="none"/>
              </w:rPr>
              <w:t xml:space="preserve"> </w:t>
            </w:r>
          </w:p>
          <w:p w14:paraId="50266D15">
            <w:pPr>
              <w:spacing w:line="276" w:lineRule="auto"/>
              <w:rPr>
                <w:rFonts w:hint="default" w:ascii="Times New Roman" w:hAnsi="Times New Roman"/>
                <w:color w:val="0000FF"/>
                <w:highlight w:val="none"/>
              </w:rPr>
            </w:pPr>
            <w:r>
              <w:rPr>
                <w:rFonts w:hint="default" w:ascii="Times New Roman" w:hAnsi="Times New Roman"/>
                <w:color w:val="0000FF"/>
                <w:highlight w:val="none"/>
              </w:rPr>
              <w:t>3.2.5.4如果招标人认为投标人提供的人员、现场监测设备等不足以满足本项目工作需要，投标人应无条件按招标人的要求增加（或更换）相应的人员、设备，由此发生的费用含入投标报价中，招标人将不另行支付。</w:t>
            </w:r>
          </w:p>
          <w:p w14:paraId="19ECE6CC">
            <w:pPr>
              <w:pStyle w:val="9"/>
              <w:rPr>
                <w:rFonts w:hint="default" w:ascii="Times New Roman" w:hAnsi="Times New Roman" w:eastAsia="宋体"/>
                <w:color w:val="0000FF"/>
                <w:highlight w:val="none"/>
                <w:lang w:val="en-US" w:eastAsia="zh-CN"/>
              </w:rPr>
            </w:pPr>
            <w:r>
              <w:rPr>
                <w:rFonts w:hint="eastAsia" w:ascii="Times New Roman" w:hAnsi="Times New Roman"/>
                <w:color w:val="0000FF"/>
                <w:highlight w:val="none"/>
                <w:lang w:val="en-US" w:eastAsia="zh-CN"/>
              </w:rPr>
              <w:t>3.2.5.</w:t>
            </w:r>
            <w:r>
              <w:rPr>
                <w:rFonts w:hint="default" w:ascii="Times New Roman" w:hAnsi="Times New Roman" w:cs="Times New Roman"/>
                <w:color w:val="0000FF"/>
                <w:highlight w:val="none"/>
                <w:lang w:val="en-US" w:eastAsia="zh-CN"/>
              </w:rPr>
              <w:t>5</w:t>
            </w:r>
            <w:r>
              <w:rPr>
                <w:rFonts w:hint="default" w:ascii="Times New Roman" w:hAnsi="Times New Roman" w:cs="Times New Roman"/>
                <w:color w:val="0000FF"/>
                <w:kern w:val="2"/>
                <w:sz w:val="21"/>
                <w:szCs w:val="22"/>
                <w:highlight w:val="none"/>
                <w:lang w:val="en-US" w:eastAsia="zh-CN" w:bidi="ar-SA"/>
              </w:rPr>
              <w:t>投标人中标后在外业实施阶段应加强安全管理，确保作业人员、设备安全，在作业期间发生的一切安全事故及责任，由此产生的费用含在投标报价之中，招标人不另行支付</w:t>
            </w:r>
          </w:p>
          <w:p w14:paraId="11271773">
            <w:pPr>
              <w:spacing w:line="276" w:lineRule="auto"/>
              <w:rPr>
                <w:rFonts w:hint="default" w:ascii="Times New Roman" w:hAnsi="Times New Roman"/>
                <w:color w:val="0000FF"/>
                <w:highlight w:val="none"/>
              </w:rPr>
            </w:pPr>
            <w:r>
              <w:rPr>
                <w:rFonts w:hint="default" w:ascii="Times New Roman" w:hAnsi="Times New Roman"/>
                <w:color w:val="0000FF"/>
                <w:highlight w:val="none"/>
              </w:rPr>
              <w:t>3.2.5.</w:t>
            </w:r>
            <w:r>
              <w:rPr>
                <w:rFonts w:hint="eastAsia" w:ascii="Times New Roman" w:hAnsi="Times New Roman"/>
                <w:color w:val="0000FF"/>
                <w:highlight w:val="none"/>
                <w:lang w:val="en-US" w:eastAsia="zh-CN"/>
              </w:rPr>
              <w:t>6</w:t>
            </w:r>
            <w:r>
              <w:rPr>
                <w:rFonts w:hint="default" w:ascii="Times New Roman" w:hAnsi="Times New Roman"/>
                <w:color w:val="0000FF"/>
                <w:highlight w:val="none"/>
              </w:rPr>
              <w:t>投标人必须按照招标人要求派驻监测人员常驻工程现场并配备交通车辆，所需的所有人员相关费用、交通设施折旧费、使用费由投标人承担，并包含在投标报价中，招标人不另行支付；</w:t>
            </w:r>
          </w:p>
          <w:p w14:paraId="0A1B8689">
            <w:pPr>
              <w:spacing w:line="276" w:lineRule="auto"/>
              <w:rPr>
                <w:rFonts w:hint="default" w:ascii="Times New Roman" w:hAnsi="Times New Roman"/>
                <w:color w:val="0000FF"/>
                <w:highlight w:val="none"/>
              </w:rPr>
            </w:pPr>
            <w:r>
              <w:rPr>
                <w:rFonts w:hint="default" w:ascii="Times New Roman" w:hAnsi="Times New Roman"/>
                <w:color w:val="0000FF"/>
                <w:highlight w:val="none"/>
              </w:rPr>
              <w:t>3.2.5.</w:t>
            </w:r>
            <w:r>
              <w:rPr>
                <w:rFonts w:hint="eastAsia" w:ascii="Times New Roman" w:hAnsi="Times New Roman"/>
                <w:color w:val="0000FF"/>
                <w:highlight w:val="none"/>
                <w:lang w:val="en-US" w:eastAsia="zh-CN"/>
              </w:rPr>
              <w:t>7</w:t>
            </w:r>
            <w:r>
              <w:rPr>
                <w:rFonts w:hint="default" w:ascii="Times New Roman" w:hAnsi="Times New Roman"/>
                <w:color w:val="0000FF"/>
                <w:highlight w:val="none"/>
              </w:rPr>
              <w:t>为满足本项目工程信息化管理的要求，投标人应按招标人要求配备相应的办公设施及数据采集人员。硬件配置及系统管理由投标人自行负责并应满足工作需要。执行本款规定所需的费用均应包含在投标人的投标报价中，招标人将不另行支付。</w:t>
            </w:r>
          </w:p>
          <w:p w14:paraId="0BBF20A3">
            <w:pPr>
              <w:spacing w:line="276" w:lineRule="auto"/>
              <w:rPr>
                <w:rFonts w:hint="default" w:ascii="Times New Roman" w:hAnsi="Times New Roman"/>
                <w:color w:val="0000FF"/>
                <w:highlight w:val="none"/>
              </w:rPr>
            </w:pPr>
            <w:r>
              <w:rPr>
                <w:rFonts w:hint="default" w:ascii="Times New Roman" w:hAnsi="Times New Roman"/>
                <w:color w:val="0000FF"/>
                <w:highlight w:val="none"/>
              </w:rPr>
              <w:t>3.2.5.</w:t>
            </w:r>
            <w:r>
              <w:rPr>
                <w:rFonts w:hint="eastAsia" w:ascii="Times New Roman" w:hAnsi="Times New Roman"/>
                <w:color w:val="0000FF"/>
                <w:highlight w:val="none"/>
                <w:lang w:val="en-US" w:eastAsia="zh-CN"/>
              </w:rPr>
              <w:t>8</w:t>
            </w:r>
            <w:r>
              <w:rPr>
                <w:rFonts w:hint="default" w:ascii="Times New Roman" w:hAnsi="Times New Roman"/>
                <w:color w:val="0000FF"/>
                <w:highlight w:val="none"/>
              </w:rPr>
              <w:t>投标人工作人员的人身意外保险、自备设备的保险及第三方责任险等有关保险由投标人自行办理，保险费由投标人承担并支付，并包含在投标报价中，招标人不另行支付。由于投标人未按本目规定投保所造成的一切损失或索赔，均由投标人自行承担责任。</w:t>
            </w:r>
          </w:p>
          <w:p w14:paraId="2521C55D">
            <w:pPr>
              <w:spacing w:line="276" w:lineRule="auto"/>
              <w:rPr>
                <w:rFonts w:hint="default" w:ascii="Times New Roman" w:hAnsi="Times New Roman"/>
                <w:color w:val="0000FF"/>
                <w:highlight w:val="none"/>
              </w:rPr>
            </w:pPr>
            <w:r>
              <w:rPr>
                <w:rFonts w:hint="default" w:ascii="Times New Roman" w:hAnsi="Times New Roman"/>
                <w:color w:val="0000FF"/>
                <w:highlight w:val="none"/>
              </w:rPr>
              <w:t>3.2.5.</w:t>
            </w:r>
            <w:r>
              <w:rPr>
                <w:rFonts w:hint="eastAsia" w:ascii="Times New Roman" w:hAnsi="Times New Roman"/>
                <w:color w:val="0000FF"/>
                <w:highlight w:val="none"/>
                <w:lang w:val="en-US" w:eastAsia="zh-CN"/>
              </w:rPr>
              <w:t>9</w:t>
            </w:r>
            <w:r>
              <w:rPr>
                <w:rFonts w:hint="default" w:ascii="Times New Roman" w:hAnsi="Times New Roman"/>
                <w:color w:val="0000FF"/>
                <w:highlight w:val="none"/>
              </w:rPr>
              <w:t>投标人因完成本项目</w:t>
            </w:r>
            <w:r>
              <w:rPr>
                <w:rFonts w:hint="eastAsia" w:ascii="Times New Roman" w:hAnsi="Times New Roman"/>
                <w:color w:val="0000FF"/>
                <w:highlight w:val="none"/>
                <w:lang w:eastAsia="zh-CN"/>
              </w:rPr>
              <w:t>监测服务</w:t>
            </w:r>
            <w:r>
              <w:rPr>
                <w:rFonts w:hint="default" w:ascii="Times New Roman" w:hAnsi="Times New Roman"/>
                <w:color w:val="0000FF"/>
                <w:highlight w:val="none"/>
              </w:rPr>
              <w:t>必须缴纳的所有税费均由投标人承担，并包含在投标报价之中，招标人将不另行支付。</w:t>
            </w:r>
          </w:p>
          <w:p w14:paraId="0B1F0ED7">
            <w:pPr>
              <w:spacing w:line="276" w:lineRule="auto"/>
              <w:rPr>
                <w:rFonts w:hint="default" w:ascii="Times New Roman" w:hAnsi="Times New Roman" w:eastAsia="宋体" w:cs="Times New Roman"/>
                <w:color w:val="0000FF"/>
                <w:sz w:val="21"/>
                <w:szCs w:val="22"/>
                <w:highlight w:val="none"/>
              </w:rPr>
            </w:pPr>
            <w:r>
              <w:rPr>
                <w:rFonts w:hint="default" w:ascii="Times New Roman" w:hAnsi="Times New Roman"/>
                <w:color w:val="0000FF"/>
                <w:highlight w:val="none"/>
              </w:rPr>
              <w:t>3.2.5.</w:t>
            </w:r>
            <w:r>
              <w:rPr>
                <w:rFonts w:hint="eastAsia" w:ascii="Times New Roman" w:hAnsi="Times New Roman"/>
                <w:color w:val="0000FF"/>
                <w:highlight w:val="none"/>
                <w:lang w:val="en-US" w:eastAsia="zh-CN"/>
              </w:rPr>
              <w:t>10</w:t>
            </w:r>
            <w:r>
              <w:rPr>
                <w:rFonts w:hint="default" w:ascii="Times New Roman" w:hAnsi="Times New Roman"/>
                <w:color w:val="0000FF"/>
                <w:highlight w:val="none"/>
              </w:rPr>
              <w:t>投标人在报价时应充分考虑本项目可能会出现形变异常而导致投标费用增加的情形，相关费用含在投标报价中，招标人不另行支付。</w:t>
            </w:r>
          </w:p>
          <w:p w14:paraId="372C2D30">
            <w:pPr>
              <w:spacing w:line="276" w:lineRule="auto"/>
              <w:rPr>
                <w:rFonts w:hint="default" w:ascii="Times New Roman" w:hAnsi="Times New Roman" w:eastAsia="宋体" w:cs="Times New Roman"/>
                <w:color w:val="0000FF"/>
                <w:highlight w:val="none"/>
              </w:rPr>
            </w:pPr>
            <w:r>
              <w:rPr>
                <w:rFonts w:ascii="Times New Roman" w:hAnsi="Times New Roman" w:eastAsia="宋体" w:cs="Times New Roman"/>
                <w:color w:val="0000FF"/>
                <w:highlight w:val="none"/>
              </w:rPr>
              <w:t>3.2.5.</w:t>
            </w:r>
            <w:r>
              <w:rPr>
                <w:rFonts w:hint="default" w:ascii="Times New Roman" w:hAnsi="Times New Roman" w:eastAsia="宋体" w:cs="Times New Roman"/>
                <w:color w:val="0000FF"/>
                <w:highlight w:val="none"/>
                <w:lang w:val="en-US" w:eastAsia="zh-CN"/>
              </w:rPr>
              <w:t>1</w:t>
            </w:r>
            <w:r>
              <w:rPr>
                <w:rFonts w:hint="eastAsia" w:ascii="Times New Roman" w:hAnsi="Times New Roman" w:cs="Times New Roman"/>
                <w:color w:val="0000FF"/>
                <w:highlight w:val="none"/>
                <w:lang w:val="en-US" w:eastAsia="zh-CN"/>
              </w:rPr>
              <w:t>1</w:t>
            </w:r>
            <w:r>
              <w:rPr>
                <w:rFonts w:ascii="Times New Roman" w:hAnsi="Times New Roman" w:eastAsia="宋体" w:cs="Times New Roman"/>
                <w:color w:val="0000FF"/>
                <w:highlight w:val="none"/>
              </w:rPr>
              <w:t>.</w:t>
            </w:r>
            <w:r>
              <w:rPr>
                <w:rFonts w:hint="default" w:ascii="Times New Roman" w:hAnsi="Times New Roman" w:eastAsia="宋体" w:cs="Times New Roman"/>
                <w:color w:val="0000FF"/>
                <w:highlight w:val="none"/>
              </w:rPr>
              <w:t>中标人应主动做好与设计单位、施工单位、监理单位的协助与配合工作，由此产生的费用含在</w:t>
            </w:r>
            <w:r>
              <w:rPr>
                <w:rFonts w:hint="default" w:ascii="Times New Roman" w:hAnsi="Times New Roman" w:eastAsia="宋体" w:cs="Times New Roman"/>
                <w:color w:val="0000FF"/>
                <w:highlight w:val="none"/>
                <w:lang w:eastAsia="zh-CN"/>
              </w:rPr>
              <w:t>投标</w:t>
            </w:r>
            <w:r>
              <w:rPr>
                <w:rFonts w:hint="default" w:ascii="Times New Roman" w:hAnsi="Times New Roman" w:eastAsia="宋体" w:cs="Times New Roman"/>
                <w:color w:val="0000FF"/>
                <w:highlight w:val="none"/>
              </w:rPr>
              <w:t>报价中，招标人不另行支付。</w:t>
            </w:r>
          </w:p>
          <w:p w14:paraId="51DB5C7D">
            <w:pPr>
              <w:spacing w:line="276" w:lineRule="auto"/>
              <w:rPr>
                <w:rFonts w:hint="default" w:ascii="Times New Roman" w:hAnsi="Times New Roman"/>
                <w:color w:val="0000FF"/>
                <w:highlight w:val="none"/>
              </w:rPr>
            </w:pPr>
            <w:r>
              <w:rPr>
                <w:rFonts w:hint="eastAsia" w:ascii="Times New Roman" w:hAnsi="Times New Roman"/>
                <w:color w:val="0000FF"/>
                <w:highlight w:val="none"/>
                <w:lang w:val="en-US" w:eastAsia="zh-CN"/>
              </w:rPr>
              <w:t>3.2.5.12</w:t>
            </w:r>
            <w:r>
              <w:rPr>
                <w:rFonts w:hint="default" w:ascii="Times New Roman" w:hAnsi="Times New Roman"/>
                <w:color w:val="0000FF"/>
                <w:highlight w:val="none"/>
              </w:rPr>
              <w:t>投标人应按照招标文件列出的表格格式，填报服务费。投标人未填报的部分，在项目实施时委托人将不予支付，并认为该部分费用已包含在报价中。</w:t>
            </w:r>
          </w:p>
          <w:p w14:paraId="56247F36">
            <w:pPr>
              <w:rPr>
                <w:rFonts w:hint="default" w:ascii="Times New Roman" w:hAnsi="Times New Roman" w:eastAsia="宋体"/>
                <w:color w:val="0000FF"/>
                <w:highlight w:val="none"/>
                <w:lang w:val="en-US" w:eastAsia="zh-CN"/>
              </w:rPr>
            </w:pPr>
            <w:r>
              <w:rPr>
                <w:rFonts w:hint="default" w:ascii="Times New Roman" w:hAnsi="Times New Roman"/>
                <w:color w:val="0000FF"/>
                <w:highlight w:val="none"/>
                <w:lang w:val="en-US" w:eastAsia="zh-CN"/>
              </w:rPr>
              <w:t xml:space="preserve">3.2.5.13 </w:t>
            </w:r>
            <w:r>
              <w:rPr>
                <w:rFonts w:hint="default" w:ascii="Times New Roman" w:hAnsi="Times New Roman" w:eastAsia="宋体"/>
                <w:color w:val="0000FF"/>
                <w:kern w:val="2"/>
                <w:sz w:val="21"/>
                <w:szCs w:val="22"/>
                <w:highlight w:val="none"/>
                <w:lang w:val="en-US" w:eastAsia="zh-CN" w:bidi="ar-SA"/>
              </w:rPr>
              <w:t>中标人在合同履行期间产生的高速公路通行费，含在投标报价中，招标人不另行支付</w:t>
            </w:r>
          </w:p>
          <w:p w14:paraId="115010E4">
            <w:pPr>
              <w:spacing w:line="276" w:lineRule="auto"/>
              <w:rPr>
                <w:rFonts w:hint="default" w:ascii="Times New Roman" w:hAnsi="Times New Roman"/>
                <w:color w:val="0000FF"/>
                <w:highlight w:val="none"/>
              </w:rPr>
            </w:pPr>
            <w:r>
              <w:rPr>
                <w:rFonts w:hint="default" w:ascii="Times New Roman" w:hAnsi="Times New Roman"/>
                <w:color w:val="0000FF"/>
                <w:highlight w:val="none"/>
              </w:rPr>
              <w:t>3.2.5.1</w:t>
            </w:r>
            <w:r>
              <w:rPr>
                <w:rFonts w:hint="eastAsia" w:ascii="Times New Roman" w:hAnsi="Times New Roman"/>
                <w:color w:val="0000FF"/>
                <w:highlight w:val="none"/>
                <w:lang w:val="en-US" w:eastAsia="zh-CN"/>
              </w:rPr>
              <w:t>4</w:t>
            </w:r>
            <w:r>
              <w:rPr>
                <w:rFonts w:hint="default" w:ascii="Times New Roman" w:hAnsi="Times New Roman"/>
                <w:color w:val="0000FF"/>
                <w:highlight w:val="none"/>
              </w:rPr>
              <w:t>投标人递交的投标报价应为一次性报价，招标人不接受调价函。合同价格不因招标项目服务期的延长进行调整。</w:t>
            </w:r>
          </w:p>
          <w:p w14:paraId="31A644E9">
            <w:pPr>
              <w:spacing w:line="276" w:lineRule="auto"/>
              <w:rPr>
                <w:rFonts w:hint="default" w:ascii="Times New Roman" w:hAnsi="Times New Roman"/>
                <w:color w:val="0000FF"/>
                <w:highlight w:val="none"/>
              </w:rPr>
            </w:pPr>
            <w:r>
              <w:rPr>
                <w:rFonts w:hint="eastAsia" w:ascii="Times New Roman" w:hAnsi="Times New Roman" w:eastAsia="宋体"/>
                <w:color w:val="0000FF"/>
                <w:kern w:val="2"/>
                <w:sz w:val="21"/>
                <w:szCs w:val="22"/>
                <w:highlight w:val="none"/>
                <w:lang w:val="en-US" w:eastAsia="zh-CN" w:bidi="ar-SA"/>
              </w:rPr>
              <w:t>3.2.5.15</w:t>
            </w:r>
            <w:r>
              <w:rPr>
                <w:rFonts w:hint="default" w:ascii="Times New Roman" w:hAnsi="Times New Roman" w:eastAsia="宋体"/>
                <w:color w:val="0000FF"/>
                <w:kern w:val="2"/>
                <w:sz w:val="21"/>
                <w:szCs w:val="22"/>
                <w:highlight w:val="none"/>
                <w:lang w:val="en-US" w:eastAsia="zh-CN" w:bidi="ar-SA"/>
              </w:rPr>
              <w:t xml:space="preserve">招标人提供的工程量清单仅作为投标人报价的参考，不作为最终结算的依据。合同履行期间，不因工程量清单中监测数量的变化而调整合同费用。 </w:t>
            </w:r>
          </w:p>
          <w:p w14:paraId="67CC745E">
            <w:pPr>
              <w:spacing w:line="276" w:lineRule="auto"/>
              <w:rPr>
                <w:rFonts w:hint="default" w:ascii="Times New Roman" w:hAnsi="Times New Roman"/>
                <w:color w:val="0000FF"/>
                <w:highlight w:val="none"/>
              </w:rPr>
            </w:pPr>
            <w:r>
              <w:rPr>
                <w:rFonts w:hint="eastAsia" w:ascii="Times New Roman" w:hAnsi="Times New Roman" w:eastAsia="宋体"/>
                <w:color w:val="0000FF"/>
                <w:kern w:val="2"/>
                <w:sz w:val="21"/>
                <w:szCs w:val="22"/>
                <w:highlight w:val="none"/>
                <w:lang w:val="en-US" w:eastAsia="zh-CN" w:bidi="ar-SA"/>
              </w:rPr>
              <w:t>3.2.5.16</w:t>
            </w:r>
            <w:r>
              <w:rPr>
                <w:rFonts w:hint="default" w:ascii="Times New Roman" w:hAnsi="Times New Roman" w:eastAsia="宋体"/>
                <w:color w:val="0000FF"/>
                <w:kern w:val="2"/>
                <w:sz w:val="21"/>
                <w:szCs w:val="22"/>
                <w:highlight w:val="none"/>
                <w:lang w:val="en-US" w:eastAsia="zh-CN" w:bidi="ar-SA"/>
              </w:rPr>
              <w:t>合同履行期间，根据项目运营管理需要，若标段范围内需新增监测的重点边坡时，新增的监测服务费用从暂列金额中支付。新增监测服务费用的金额，由招标人和中标人参考中标人工程量清单填报的价格进行协商确定。</w:t>
            </w:r>
          </w:p>
          <w:p w14:paraId="57D3429E">
            <w:pPr>
              <w:spacing w:line="276" w:lineRule="auto"/>
              <w:rPr>
                <w:rFonts w:ascii="Times New Roman" w:hAnsi="Times New Roman" w:eastAsia="宋体" w:cs="Times New Roman"/>
                <w:color w:val="0000FF"/>
                <w:highlight w:val="none"/>
              </w:rPr>
            </w:pPr>
            <w:r>
              <w:rPr>
                <w:rFonts w:ascii="Times New Roman" w:hAnsi="Times New Roman" w:eastAsia="宋体" w:cs="Times New Roman"/>
                <w:color w:val="0000FF"/>
                <w:highlight w:val="none"/>
              </w:rPr>
              <w:t>3.2.5.</w:t>
            </w:r>
            <w:r>
              <w:rPr>
                <w:rFonts w:hint="default" w:ascii="Times New Roman" w:hAnsi="Times New Roman" w:eastAsia="宋体" w:cs="Times New Roman"/>
                <w:color w:val="0000FF"/>
                <w:highlight w:val="none"/>
                <w:lang w:val="en-US" w:eastAsia="zh-CN"/>
              </w:rPr>
              <w:t>1</w:t>
            </w:r>
            <w:r>
              <w:rPr>
                <w:rFonts w:hint="eastAsia" w:ascii="Times New Roman" w:hAnsi="Times New Roman" w:cs="Times New Roman"/>
                <w:color w:val="0000FF"/>
                <w:highlight w:val="none"/>
                <w:lang w:val="en-US" w:eastAsia="zh-CN"/>
              </w:rPr>
              <w:t>7</w:t>
            </w:r>
            <w:r>
              <w:rPr>
                <w:rFonts w:ascii="Times New Roman" w:hAnsi="Times New Roman" w:eastAsia="宋体" w:cs="Times New Roman"/>
                <w:color w:val="0000FF"/>
                <w:highlight w:val="none"/>
              </w:rPr>
              <w:t>中标人领取中标通知书前应向招标代理单位支付本次招标的招标代理费</w:t>
            </w:r>
            <w:r>
              <w:rPr>
                <w:rFonts w:hint="default" w:ascii="Times New Roman" w:hAnsi="Times New Roman" w:eastAsia="宋体" w:cs="Times New Roman"/>
                <w:color w:val="0000FF"/>
                <w:highlight w:val="none"/>
                <w:lang w:eastAsia="zh-CN"/>
              </w:rPr>
              <w:t>，</w:t>
            </w:r>
            <w:r>
              <w:rPr>
                <w:rFonts w:ascii="Times New Roman" w:hAnsi="Times New Roman" w:eastAsia="宋体" w:cs="Times New Roman"/>
                <w:color w:val="0000FF"/>
                <w:highlight w:val="none"/>
              </w:rPr>
              <w:t>该费用含入投标人总报价中，招标人不另行支付。招标代理费收费标准详见投标人须知前附表第9.5款规定。</w:t>
            </w:r>
          </w:p>
          <w:p w14:paraId="7CD0D271">
            <w:pPr>
              <w:spacing w:line="276" w:lineRule="auto"/>
              <w:rPr>
                <w:rFonts w:hint="eastAsia" w:ascii="Times New Roman" w:hAnsi="Times New Roman" w:eastAsia="宋体" w:cs="Times New Roman"/>
                <w:color w:val="0000FF"/>
                <w:highlight w:val="none"/>
              </w:rPr>
            </w:pPr>
          </w:p>
        </w:tc>
      </w:tr>
      <w:tr w14:paraId="03CDC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7E84AD69">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3.3.1</w:t>
            </w:r>
          </w:p>
        </w:tc>
        <w:tc>
          <w:tcPr>
            <w:tcW w:w="2657" w:type="dxa"/>
            <w:noWrap w:val="0"/>
            <w:vAlign w:val="top"/>
          </w:tcPr>
          <w:p w14:paraId="54780442">
            <w:pPr>
              <w:spacing w:line="276" w:lineRule="auto"/>
              <w:rPr>
                <w:rFonts w:ascii="Times New Roman" w:hAnsi="Times New Roman"/>
              </w:rPr>
            </w:pPr>
            <w:r>
              <w:rPr>
                <w:rFonts w:ascii="Times New Roman" w:hAnsi="Times New Roman"/>
                <w:highlight w:val="white"/>
              </w:rPr>
              <w:t>投标有效期</w:t>
            </w:r>
          </w:p>
        </w:tc>
        <w:tc>
          <w:tcPr>
            <w:tcW w:w="4536" w:type="dxa"/>
            <w:noWrap w:val="0"/>
            <w:vAlign w:val="top"/>
          </w:tcPr>
          <w:p w14:paraId="0452B390">
            <w:pPr>
              <w:spacing w:line="276" w:lineRule="auto"/>
              <w:rPr>
                <w:rFonts w:ascii="Times New Roman" w:hAnsi="Times New Roman"/>
                <w:highlight w:val="green"/>
              </w:rPr>
            </w:pPr>
            <w:r>
              <w:rPr>
                <w:rFonts w:ascii="Times New Roman" w:hAnsi="Times New Roman"/>
                <w:highlight w:val="white"/>
              </w:rPr>
              <w:t>自投标人提交投标文件截止之日起计算</w:t>
            </w:r>
            <w:bookmarkStart w:id="105" w:name="EB986aec7d106e43adbda50d548515bc0c"/>
            <w:r>
              <w:rPr>
                <w:rFonts w:ascii="Times New Roman" w:hAnsi="Times New Roman"/>
                <w:color w:val="0000FF"/>
                <w:highlight w:val="white"/>
              </w:rPr>
              <w:t>120</w:t>
            </w:r>
            <w:bookmarkEnd w:id="105"/>
            <w:r>
              <w:rPr>
                <w:rFonts w:ascii="Times New Roman" w:hAnsi="Times New Roman"/>
                <w:highlight w:val="white"/>
              </w:rPr>
              <w:t>日</w:t>
            </w:r>
          </w:p>
        </w:tc>
      </w:tr>
      <w:tr w14:paraId="05D5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7E3C3C19">
            <w:pPr>
              <w:jc w:val="center"/>
              <w:rPr>
                <w:rFonts w:ascii="Times New Roman" w:hAnsi="Times New Roman"/>
                <w:szCs w:val="24"/>
              </w:rPr>
            </w:pPr>
            <w:r>
              <w:rPr>
                <w:rFonts w:ascii="Times New Roman" w:hAnsi="Times New Roman"/>
                <w:highlight w:val="white"/>
              </w:rPr>
              <w:t>3.4.1</w:t>
            </w:r>
          </w:p>
        </w:tc>
        <w:tc>
          <w:tcPr>
            <w:tcW w:w="2657" w:type="dxa"/>
            <w:noWrap w:val="0"/>
            <w:vAlign w:val="center"/>
          </w:tcPr>
          <w:p w14:paraId="79145C65">
            <w:pPr>
              <w:rPr>
                <w:rFonts w:ascii="Times New Roman" w:hAnsi="Times New Roman"/>
                <w:szCs w:val="24"/>
              </w:rPr>
            </w:pPr>
            <w:r>
              <w:rPr>
                <w:rFonts w:ascii="Times New Roman" w:hAnsi="Times New Roman"/>
                <w:highlight w:val="white"/>
              </w:rPr>
              <w:t>投标保证金</w:t>
            </w:r>
          </w:p>
        </w:tc>
        <w:tc>
          <w:tcPr>
            <w:tcW w:w="4536" w:type="dxa"/>
            <w:noWrap w:val="0"/>
            <w:vAlign w:val="top"/>
          </w:tcPr>
          <w:p w14:paraId="0A97B684">
            <w:pPr>
              <w:spacing w:line="276" w:lineRule="auto"/>
              <w:rPr>
                <w:rFonts w:ascii="Times New Roman" w:hAnsi="Times New Roman"/>
              </w:rPr>
            </w:pPr>
            <w:bookmarkStart w:id="106" w:name="EB0b2a223eb15045bab480efe28009914a"/>
            <w:r>
              <w:rPr>
                <w:rFonts w:ascii="Times New Roman" w:hAnsi="Times New Roman"/>
                <w:color w:val="0000FF"/>
                <w:highlight w:val="white"/>
              </w:rPr>
              <w:t>□</w:t>
            </w:r>
            <w:bookmarkEnd w:id="106"/>
            <w:r>
              <w:rPr>
                <w:rFonts w:ascii="Times New Roman" w:hAnsi="Times New Roman"/>
                <w:highlight w:val="white"/>
              </w:rPr>
              <w:t>不提交</w:t>
            </w:r>
          </w:p>
          <w:p w14:paraId="3BAE1945">
            <w:pPr>
              <w:spacing w:line="276" w:lineRule="auto"/>
              <w:rPr>
                <w:rFonts w:ascii="Times New Roman" w:hAnsi="Times New Roman"/>
              </w:rPr>
            </w:pPr>
            <w:bookmarkStart w:id="107" w:name="EB1292c307e333436195305ca01aabc8f9"/>
            <w:r>
              <w:rPr>
                <w:rFonts w:ascii="Segoe UI Symbol" w:hAnsi="Segoe UI Symbol" w:cs="Segoe UI Symbol"/>
                <w:color w:val="0000FF"/>
                <w:highlight w:val="white"/>
              </w:rPr>
              <w:t>☑</w:t>
            </w:r>
            <w:bookmarkEnd w:id="107"/>
            <w:r>
              <w:rPr>
                <w:rFonts w:ascii="Times New Roman" w:hAnsi="Times New Roman"/>
                <w:highlight w:val="white"/>
              </w:rPr>
              <w:t>提交，</w:t>
            </w:r>
          </w:p>
          <w:p w14:paraId="68F3D1CC">
            <w:pPr>
              <w:spacing w:line="276" w:lineRule="auto"/>
              <w:rPr>
                <w:rFonts w:ascii="Times New Roman" w:hAnsi="Times New Roman"/>
              </w:rPr>
            </w:pPr>
            <w:r>
              <w:rPr>
                <w:rFonts w:ascii="Times New Roman" w:hAnsi="Times New Roman"/>
                <w:highlight w:val="white"/>
              </w:rPr>
              <w:t>1.递交截止时间（到账时间）：同本标段投标截止时间。</w:t>
            </w:r>
          </w:p>
          <w:p w14:paraId="48E5F127">
            <w:pPr>
              <w:spacing w:line="276" w:lineRule="auto"/>
              <w:rPr>
                <w:rFonts w:ascii="Times New Roman" w:hAnsi="Times New Roman"/>
                <w:highlight w:val="none"/>
              </w:rPr>
            </w:pPr>
            <w:r>
              <w:rPr>
                <w:rFonts w:ascii="Times New Roman" w:hAnsi="Times New Roman"/>
                <w:highlight w:val="none"/>
              </w:rPr>
              <w:t>2.金额：</w:t>
            </w:r>
            <w:bookmarkStart w:id="108" w:name="EB432e06ebba134886abfd45d478daca52"/>
            <w:bookmarkEnd w:id="108"/>
            <w:r>
              <w:rPr>
                <w:rFonts w:hint="eastAsia" w:ascii="Times New Roman" w:hAnsi="Times New Roman"/>
                <w:color w:val="0000FF"/>
                <w:highlight w:val="none"/>
                <w:lang w:val="en-US" w:eastAsia="zh-CN"/>
              </w:rPr>
              <w:t>10000</w:t>
            </w:r>
            <w:r>
              <w:rPr>
                <w:rFonts w:ascii="Times New Roman" w:hAnsi="Times New Roman"/>
                <w:highlight w:val="none"/>
              </w:rPr>
              <w:t>元。</w:t>
            </w:r>
          </w:p>
          <w:p w14:paraId="3B32B91D">
            <w:pPr>
              <w:spacing w:line="276" w:lineRule="auto"/>
              <w:rPr>
                <w:rFonts w:ascii="Times New Roman" w:hAnsi="Times New Roman"/>
              </w:rPr>
            </w:pPr>
            <w:r>
              <w:rPr>
                <w:rFonts w:ascii="Times New Roman" w:hAnsi="Times New Roman"/>
                <w:highlight w:val="white"/>
              </w:rPr>
              <w:t>3. 形式：投标人应当采用现金、电子银行保函、电子担保保函、电子保险保单中的一种形式递交投标担保。</w:t>
            </w:r>
          </w:p>
          <w:p w14:paraId="1D527610">
            <w:pPr>
              <w:spacing w:line="276" w:lineRule="auto"/>
              <w:rPr>
                <w:rFonts w:ascii="Times New Roman" w:hAnsi="Times New Roman"/>
              </w:rPr>
            </w:pPr>
            <w:r>
              <w:rPr>
                <w:rFonts w:ascii="Times New Roman" w:hAnsi="Times New Roman"/>
                <w:highlight w:val="white"/>
              </w:rPr>
              <w:t>4. 递交方式及要求：</w:t>
            </w:r>
          </w:p>
          <w:p w14:paraId="0B4857AA">
            <w:pPr>
              <w:spacing w:line="276" w:lineRule="auto"/>
              <w:rPr>
                <w:rFonts w:ascii="Times New Roman" w:hAnsi="Times New Roman"/>
              </w:rPr>
            </w:pPr>
            <w:r>
              <w:rPr>
                <w:rFonts w:ascii="Times New Roman" w:hAnsi="Times New Roman"/>
                <w:highlight w:val="white"/>
              </w:rPr>
              <w:t>（1）采用现金方式</w:t>
            </w:r>
          </w:p>
          <w:p w14:paraId="30DDF3A9">
            <w:pPr>
              <w:spacing w:line="276" w:lineRule="auto"/>
              <w:rPr>
                <w:rFonts w:ascii="Times New Roman" w:hAnsi="Times New Roman"/>
              </w:rPr>
            </w:pPr>
            <w:r>
              <w:rPr>
                <w:rFonts w:ascii="Times New Roman" w:hAnsi="Times New Roman"/>
                <w:highlight w:val="white"/>
              </w:rPr>
              <w:t>1）必须从投标人的基本账户汇至招标人指定的账户及账号。</w:t>
            </w:r>
          </w:p>
          <w:p w14:paraId="07E8621B">
            <w:pPr>
              <w:spacing w:line="276" w:lineRule="auto"/>
              <w:rPr>
                <w:rFonts w:ascii="Times New Roman" w:hAnsi="Times New Roman"/>
              </w:rPr>
            </w:pPr>
            <w:r>
              <w:rPr>
                <w:rFonts w:ascii="Times New Roman" w:hAnsi="Times New Roman"/>
                <w:highlight w:val="white"/>
              </w:rPr>
              <w:t>保证金账号：</w:t>
            </w:r>
            <w:bookmarkStart w:id="109" w:name="EB664065ff178c4d95967f10855c234352"/>
            <w:r>
              <w:rPr>
                <w:rFonts w:ascii="Times New Roman" w:hAnsi="Times New Roman"/>
                <w:color w:val="0000FF"/>
                <w:highlight w:val="white"/>
              </w:rPr>
              <w:t>127905694210702</w:t>
            </w:r>
            <w:bookmarkEnd w:id="109"/>
            <w:r>
              <w:rPr>
                <w:rFonts w:ascii="Times New Roman" w:hAnsi="Times New Roman"/>
                <w:highlight w:val="white"/>
              </w:rPr>
              <w:t>；</w:t>
            </w:r>
          </w:p>
          <w:p w14:paraId="45B8C5EC">
            <w:pPr>
              <w:spacing w:line="276" w:lineRule="auto"/>
              <w:rPr>
                <w:rFonts w:ascii="Times New Roman" w:hAnsi="Times New Roman"/>
              </w:rPr>
            </w:pPr>
            <w:r>
              <w:rPr>
                <w:rFonts w:ascii="Times New Roman" w:hAnsi="Times New Roman"/>
                <w:highlight w:val="white"/>
              </w:rPr>
              <w:t>账户名称：</w:t>
            </w:r>
            <w:bookmarkStart w:id="110" w:name="EB69267466824644898d905a5ec8a8bab4"/>
            <w:r>
              <w:rPr>
                <w:rFonts w:ascii="Times New Roman" w:hAnsi="Times New Roman"/>
                <w:color w:val="0000FF"/>
                <w:highlight w:val="white"/>
              </w:rPr>
              <w:t>华杰工程咨询有限公司中南分公司</w:t>
            </w:r>
            <w:bookmarkEnd w:id="110"/>
            <w:r>
              <w:rPr>
                <w:rFonts w:ascii="Times New Roman" w:hAnsi="Times New Roman"/>
                <w:highlight w:val="white"/>
              </w:rPr>
              <w:t>；</w:t>
            </w:r>
          </w:p>
          <w:p w14:paraId="2603AFFA">
            <w:pPr>
              <w:spacing w:line="276" w:lineRule="auto"/>
              <w:rPr>
                <w:rFonts w:ascii="Times New Roman" w:hAnsi="Times New Roman"/>
              </w:rPr>
            </w:pPr>
            <w:r>
              <w:rPr>
                <w:rFonts w:ascii="Times New Roman" w:hAnsi="Times New Roman"/>
                <w:highlight w:val="white"/>
              </w:rPr>
              <w:t>开户银行：</w:t>
            </w:r>
            <w:bookmarkStart w:id="111" w:name="EBe6cb69ba94a04fe5adcbeaa100b99613"/>
            <w:r>
              <w:rPr>
                <w:rFonts w:ascii="Times New Roman" w:hAnsi="Times New Roman"/>
                <w:color w:val="0000FF"/>
                <w:highlight w:val="white"/>
              </w:rPr>
              <w:t>招商银行武汉青年路支行（行号：308521015774）</w:t>
            </w:r>
            <w:bookmarkEnd w:id="111"/>
            <w:r>
              <w:rPr>
                <w:rFonts w:ascii="Times New Roman" w:hAnsi="Times New Roman"/>
                <w:highlight w:val="white"/>
              </w:rPr>
              <w:t>；</w:t>
            </w:r>
          </w:p>
          <w:p w14:paraId="5D1DE78B">
            <w:pPr>
              <w:spacing w:line="276" w:lineRule="auto"/>
              <w:rPr>
                <w:rFonts w:ascii="Times New Roman" w:hAnsi="Times New Roman"/>
              </w:rPr>
            </w:pPr>
            <w:r>
              <w:rPr>
                <w:rFonts w:ascii="Times New Roman" w:hAnsi="Times New Roman"/>
                <w:highlight w:val="white"/>
              </w:rPr>
              <w:t>其他要求：</w:t>
            </w:r>
            <w:bookmarkStart w:id="112" w:name="EBaf47d63f853f46cc8c3fb68db35d5919"/>
            <w:r>
              <w:rPr>
                <w:rFonts w:ascii="Times New Roman" w:hAnsi="Times New Roman"/>
                <w:color w:val="0000FF"/>
                <w:highlight w:val="white"/>
              </w:rPr>
              <w:t>投标人需在转账备注中注明项目名称、标段名称，可简写(如投标人转账备注：</w:t>
            </w:r>
            <w:r>
              <w:rPr>
                <w:rFonts w:hint="eastAsia" w:ascii="Times New Roman" w:hAnsi="Times New Roman"/>
                <w:color w:val="0000FF"/>
                <w:highlight w:val="white"/>
                <w:lang w:val="en-US" w:eastAsia="zh-CN"/>
              </w:rPr>
              <w:t>(通山至武宁高边坡检测TWGBPJC-1</w:t>
            </w:r>
            <w:r>
              <w:rPr>
                <w:rFonts w:ascii="Times New Roman" w:hAnsi="Times New Roman"/>
                <w:color w:val="0000FF"/>
                <w:highlight w:val="white"/>
              </w:rPr>
              <w:t>投标保证金）</w:t>
            </w:r>
            <w:bookmarkEnd w:id="112"/>
            <w:r>
              <w:rPr>
                <w:rFonts w:ascii="Times New Roman" w:hAnsi="Times New Roman"/>
                <w:highlight w:val="white"/>
              </w:rPr>
              <w:t>。</w:t>
            </w:r>
          </w:p>
          <w:p w14:paraId="73719FCE">
            <w:pPr>
              <w:spacing w:line="276" w:lineRule="auto"/>
              <w:rPr>
                <w:rFonts w:ascii="Times New Roman" w:hAnsi="Times New Roman"/>
              </w:rPr>
            </w:pPr>
            <w:r>
              <w:rPr>
                <w:rFonts w:ascii="Times New Roman" w:hAnsi="Times New Roman"/>
                <w:highlight w:val="white"/>
              </w:rPr>
              <w:t>2）基本账户信息将以投标人办理交易主体注册登记所填基本账户信息为准，若投标人汇款账户与注册登记时的基本账户信息不相符，由此造成投标保证金递交失败的责任由投标人自行承担。</w:t>
            </w:r>
          </w:p>
          <w:p w14:paraId="43891394">
            <w:pPr>
              <w:spacing w:line="276" w:lineRule="auto"/>
              <w:rPr>
                <w:rFonts w:ascii="Times New Roman" w:hAnsi="Times New Roman"/>
              </w:rPr>
            </w:pPr>
            <w:r>
              <w:rPr>
                <w:rFonts w:ascii="Times New Roman" w:hAnsi="Times New Roman"/>
                <w:highlight w:val="white"/>
              </w:rPr>
              <w:t>3）投标保证金到账查询方法及其它要求：</w:t>
            </w:r>
            <w:r>
              <w:rPr>
                <w:rFonts w:hint="eastAsia" w:ascii="Times New Roman" w:hAnsi="Times New Roman"/>
                <w:color w:val="auto"/>
                <w:szCs w:val="21"/>
                <w:highlight w:val="none"/>
              </w:rPr>
              <w:t>因投标人信息保密需要，不提供投标保证金到账查询服务。投标人应自行核对银行转账信息严格按照本款规定递交投标保证金。投标人应自行核对银行转账信息严格按照本款规定递交投标保证金</w:t>
            </w:r>
            <w:r>
              <w:rPr>
                <w:rFonts w:ascii="Times New Roman" w:hAnsi="Times New Roman"/>
                <w:highlight w:val="white"/>
              </w:rPr>
              <w:t>。</w:t>
            </w:r>
          </w:p>
          <w:p w14:paraId="71B2D182">
            <w:pPr>
              <w:spacing w:line="276" w:lineRule="auto"/>
              <w:rPr>
                <w:rFonts w:ascii="Times New Roman" w:hAnsi="Times New Roman"/>
              </w:rPr>
            </w:pPr>
            <w:r>
              <w:rPr>
                <w:rFonts w:ascii="Times New Roman" w:hAnsi="Times New Roman"/>
                <w:highlight w:val="white"/>
              </w:rPr>
              <w:t>（2）采用电子银行保函、电子担保保函、电子保险保单方式（以下简称保函、保单）</w:t>
            </w:r>
          </w:p>
          <w:p w14:paraId="192A3D6A">
            <w:pPr>
              <w:spacing w:line="276" w:lineRule="auto"/>
              <w:rPr>
                <w:rFonts w:ascii="Times New Roman" w:hAnsi="Times New Roman"/>
              </w:rPr>
            </w:pPr>
            <w:r>
              <w:rPr>
                <w:rFonts w:ascii="Times New Roman" w:hAnsi="Times New Roman"/>
                <w:highlight w:val="white"/>
              </w:rPr>
              <w:t>1）投标人须及时登录“电子交易平台”选择所投标段按系统引导的程序申请电子保函或保单。</w:t>
            </w:r>
          </w:p>
          <w:p w14:paraId="32E63E4B">
            <w:pPr>
              <w:spacing w:line="276" w:lineRule="auto"/>
              <w:rPr>
                <w:rFonts w:ascii="Times New Roman" w:hAnsi="Times New Roman"/>
              </w:rPr>
            </w:pPr>
            <w:r>
              <w:rPr>
                <w:rFonts w:ascii="Times New Roman" w:hAnsi="Times New Roman"/>
                <w:highlight w:val="white"/>
              </w:rPr>
              <w:t>2）投标人可在“电子交易平台”查询保函或保单是否申请成功，开具成功后可下载电子保函或保单。电子保函或保单应载明：保函或保单受益人（招标人）、标段名称、标段编号、担保内容、担保金额、保函或保单有效期等信息，检查其内容符合招标文件的相关约定后，上传至投标文件的“投标保证金”栏目中。</w:t>
            </w:r>
          </w:p>
          <w:p w14:paraId="0AD92658">
            <w:pPr>
              <w:spacing w:line="276" w:lineRule="auto"/>
              <w:rPr>
                <w:rFonts w:ascii="Times New Roman" w:hAnsi="Times New Roman"/>
              </w:rPr>
            </w:pPr>
            <w:r>
              <w:rPr>
                <w:rFonts w:ascii="Times New Roman" w:hAnsi="Times New Roman"/>
                <w:highlight w:val="white"/>
              </w:rPr>
              <w:t>3）开标后，电子交易平台将自动比对投标截止时间前收到的电子保函或保单情况；评标时评标委员会可以直接在投标文件中查验电子保函或保单。</w:t>
            </w:r>
          </w:p>
        </w:tc>
      </w:tr>
      <w:tr w14:paraId="3B34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69A28CB">
            <w:pPr>
              <w:spacing w:line="288" w:lineRule="auto"/>
              <w:jc w:val="center"/>
              <w:rPr>
                <w:rFonts w:ascii="Times New Roman" w:hAnsi="Times New Roman"/>
                <w:szCs w:val="24"/>
              </w:rPr>
            </w:pPr>
            <w:r>
              <w:rPr>
                <w:rFonts w:ascii="Times New Roman" w:hAnsi="Times New Roman"/>
                <w:highlight w:val="white"/>
              </w:rPr>
              <w:t>3.4.3</w:t>
            </w:r>
          </w:p>
        </w:tc>
        <w:tc>
          <w:tcPr>
            <w:tcW w:w="2657" w:type="dxa"/>
            <w:noWrap w:val="0"/>
            <w:vAlign w:val="center"/>
          </w:tcPr>
          <w:p w14:paraId="23DD35D7">
            <w:pPr>
              <w:spacing w:line="288" w:lineRule="auto"/>
              <w:rPr>
                <w:rFonts w:ascii="Times New Roman" w:hAnsi="Times New Roman"/>
                <w:szCs w:val="24"/>
              </w:rPr>
            </w:pPr>
            <w:r>
              <w:rPr>
                <w:rFonts w:ascii="Times New Roman" w:hAnsi="Times New Roman"/>
                <w:highlight w:val="white"/>
              </w:rPr>
              <w:t>退还投标保证金</w:t>
            </w:r>
          </w:p>
          <w:p w14:paraId="2C8BFFB5">
            <w:pPr>
              <w:spacing w:line="288" w:lineRule="auto"/>
              <w:rPr>
                <w:rFonts w:ascii="Times New Roman" w:hAnsi="Times New Roman"/>
                <w:szCs w:val="24"/>
              </w:rPr>
            </w:pPr>
            <w:r>
              <w:rPr>
                <w:rFonts w:ascii="Times New Roman" w:hAnsi="Times New Roman"/>
                <w:highlight w:val="white"/>
              </w:rPr>
              <w:t>及利息</w:t>
            </w:r>
          </w:p>
        </w:tc>
        <w:tc>
          <w:tcPr>
            <w:tcW w:w="4536" w:type="dxa"/>
            <w:noWrap w:val="0"/>
            <w:vAlign w:val="top"/>
          </w:tcPr>
          <w:p w14:paraId="3B858C68">
            <w:pPr>
              <w:spacing w:line="276" w:lineRule="auto"/>
              <w:rPr>
                <w:rFonts w:ascii="Times New Roman" w:hAnsi="Times New Roman"/>
              </w:rPr>
            </w:pPr>
            <w:r>
              <w:rPr>
                <w:rFonts w:ascii="Times New Roman" w:hAnsi="Times New Roman"/>
                <w:highlight w:val="white"/>
              </w:rPr>
              <w:t>1 .采用现金方式</w:t>
            </w:r>
          </w:p>
          <w:p w14:paraId="5CBA919F">
            <w:pPr>
              <w:spacing w:line="276" w:lineRule="auto"/>
              <w:rPr>
                <w:rFonts w:ascii="Times New Roman" w:hAnsi="Times New Roman"/>
              </w:rPr>
            </w:pPr>
            <w:r>
              <w:rPr>
                <w:rFonts w:ascii="Times New Roman" w:hAnsi="Times New Roman"/>
                <w:highlight w:val="white"/>
              </w:rPr>
              <w:t>计息标准：</w:t>
            </w:r>
            <w:bookmarkStart w:id="113" w:name="EBb5acfb0593c843588d61f53d4be4af5b"/>
            <w:r>
              <w:rPr>
                <w:rFonts w:ascii="Times New Roman" w:hAnsi="Times New Roman"/>
                <w:color w:val="0000FF"/>
                <w:highlight w:val="white"/>
              </w:rPr>
              <w:t>人民银行同期活期存款利率</w:t>
            </w:r>
            <w:bookmarkEnd w:id="113"/>
          </w:p>
          <w:p w14:paraId="0CBF0447">
            <w:pPr>
              <w:spacing w:line="276" w:lineRule="auto"/>
              <w:rPr>
                <w:rFonts w:ascii="Times New Roman" w:hAnsi="Times New Roman"/>
                <w:color w:val="0000FF"/>
              </w:rPr>
            </w:pPr>
            <w:r>
              <w:rPr>
                <w:rFonts w:ascii="Times New Roman" w:hAnsi="Times New Roman"/>
                <w:highlight w:val="white"/>
              </w:rPr>
              <w:t>计息时间：</w:t>
            </w:r>
            <w:bookmarkStart w:id="114" w:name="EB5be30f1696d94ca1be19f353432c2deb"/>
            <w:r>
              <w:rPr>
                <w:rFonts w:ascii="Times New Roman" w:hAnsi="Times New Roman"/>
                <w:color w:val="0000FF"/>
                <w:highlight w:val="white"/>
              </w:rPr>
              <w:t>投标保证金到账之日至退还的前一日</w:t>
            </w:r>
            <w:bookmarkEnd w:id="114"/>
          </w:p>
          <w:p w14:paraId="022B518F">
            <w:pPr>
              <w:spacing w:line="276" w:lineRule="auto"/>
              <w:rPr>
                <w:rFonts w:ascii="Times New Roman" w:hAnsi="Times New Roman"/>
              </w:rPr>
            </w:pPr>
            <w:r>
              <w:rPr>
                <w:rFonts w:ascii="Times New Roman" w:hAnsi="Times New Roman"/>
                <w:highlight w:val="white"/>
              </w:rPr>
              <w:t>退还办法：</w:t>
            </w:r>
            <w:bookmarkStart w:id="115" w:name="EB3c6253f898a94d199c2a665d444214f7"/>
            <w:r>
              <w:rPr>
                <w:rFonts w:ascii="Times New Roman" w:hAnsi="Times New Roman"/>
                <w:color w:val="0000FF"/>
                <w:highlight w:val="white"/>
              </w:rPr>
              <w:t>依法依规退还</w:t>
            </w:r>
            <w:bookmarkEnd w:id="115"/>
            <w:r>
              <w:rPr>
                <w:rFonts w:ascii="Times New Roman" w:hAnsi="Times New Roman"/>
                <w:highlight w:val="white"/>
              </w:rPr>
              <w:t xml:space="preserve"> 。</w:t>
            </w:r>
          </w:p>
          <w:p w14:paraId="25C432AD">
            <w:pPr>
              <w:spacing w:line="276" w:lineRule="auto"/>
              <w:rPr>
                <w:rFonts w:ascii="Times New Roman" w:hAnsi="Times New Roman"/>
                <w:color w:val="0000FF"/>
                <w:highlight w:val="green"/>
              </w:rPr>
            </w:pPr>
            <w:r>
              <w:rPr>
                <w:rFonts w:ascii="Times New Roman" w:hAnsi="Times New Roman"/>
                <w:highlight w:val="white"/>
              </w:rPr>
              <w:t>2. 采用电子保函或保单方式，不产生利息，电子保函或保单到期后自动失效。</w:t>
            </w:r>
          </w:p>
        </w:tc>
      </w:tr>
      <w:tr w14:paraId="004F3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17F376B4">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3.4.4</w:t>
            </w:r>
          </w:p>
        </w:tc>
        <w:tc>
          <w:tcPr>
            <w:tcW w:w="2657" w:type="dxa"/>
            <w:noWrap w:val="0"/>
            <w:vAlign w:val="top"/>
          </w:tcPr>
          <w:p w14:paraId="2D7E22BB">
            <w:pPr>
              <w:spacing w:line="276" w:lineRule="auto"/>
              <w:rPr>
                <w:rFonts w:ascii="Times New Roman" w:hAnsi="Times New Roman"/>
              </w:rPr>
            </w:pPr>
            <w:r>
              <w:rPr>
                <w:rFonts w:ascii="Times New Roman" w:hAnsi="Times New Roman"/>
                <w:highlight w:val="white"/>
              </w:rPr>
              <w:t>其他可以不予退还投标保证金的情形</w:t>
            </w:r>
          </w:p>
        </w:tc>
        <w:tc>
          <w:tcPr>
            <w:tcW w:w="4536" w:type="dxa"/>
            <w:noWrap w:val="0"/>
            <w:vAlign w:val="top"/>
          </w:tcPr>
          <w:p w14:paraId="689DB525">
            <w:pPr>
              <w:spacing w:line="276" w:lineRule="auto"/>
              <w:rPr>
                <w:rFonts w:ascii="Times New Roman" w:hAnsi="Times New Roman"/>
                <w:color w:val="000000"/>
              </w:rPr>
            </w:pPr>
            <w:bookmarkStart w:id="116" w:name="EB5aa7b1442ba54426918ebba69d25863c"/>
            <w:r>
              <w:rPr>
                <w:rFonts w:ascii="Segoe UI Symbol" w:hAnsi="Segoe UI Symbol" w:cs="Segoe UI Symbol"/>
                <w:color w:val="0000FF"/>
                <w:highlight w:val="white"/>
              </w:rPr>
              <w:t>☑</w:t>
            </w:r>
            <w:bookmarkEnd w:id="116"/>
            <w:r>
              <w:rPr>
                <w:rFonts w:ascii="Times New Roman" w:hAnsi="Times New Roman"/>
                <w:color w:val="000000"/>
                <w:highlight w:val="white"/>
              </w:rPr>
              <w:t>投标人存在以他人名义投标、与他人串通投标、以行贿手段谋取中标、弄虚作假等行为；</w:t>
            </w:r>
          </w:p>
          <w:p w14:paraId="0076EC19">
            <w:pPr>
              <w:spacing w:line="276" w:lineRule="auto"/>
              <w:rPr>
                <w:rFonts w:ascii="Times New Roman" w:hAnsi="Times New Roman"/>
                <w:color w:val="0000FF"/>
                <w:highlight w:val="green"/>
              </w:rPr>
            </w:pPr>
            <w:bookmarkStart w:id="117" w:name="EB5b9d7c1829464ba491f61f579d7c8365"/>
            <w:r>
              <w:rPr>
                <w:rFonts w:ascii="Times New Roman" w:hAnsi="Times New Roman"/>
                <w:color w:val="0000FF"/>
                <w:highlight w:val="white"/>
              </w:rPr>
              <w:t>□</w:t>
            </w:r>
            <w:bookmarkEnd w:id="117"/>
            <w:r>
              <w:rPr>
                <w:rFonts w:ascii="Times New Roman" w:hAnsi="Times New Roman"/>
                <w:color w:val="000000"/>
                <w:highlight w:val="white"/>
              </w:rPr>
              <w:t xml:space="preserve">  </w:t>
            </w:r>
            <w:bookmarkStart w:id="118" w:name="EBfca7b36ebe8d4257b6809a45b6e3e866"/>
            <w:r>
              <w:rPr>
                <w:rFonts w:ascii="Times New Roman" w:hAnsi="Times New Roman"/>
                <w:color w:val="0000FF"/>
                <w:highlight w:val="white"/>
              </w:rPr>
              <w:t>/</w:t>
            </w:r>
            <w:bookmarkEnd w:id="118"/>
            <w:r>
              <w:rPr>
                <w:rFonts w:ascii="Times New Roman" w:hAnsi="Times New Roman"/>
                <w:color w:val="000000"/>
                <w:highlight w:val="white"/>
              </w:rPr>
              <w:t>。</w:t>
            </w:r>
          </w:p>
        </w:tc>
      </w:tr>
      <w:tr w14:paraId="5600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54D77228">
            <w:pPr>
              <w:spacing w:line="288" w:lineRule="auto"/>
              <w:jc w:val="center"/>
              <w:rPr>
                <w:rFonts w:ascii="Times New Roman" w:hAnsi="Times New Roman"/>
              </w:rPr>
            </w:pPr>
            <w:r>
              <w:rPr>
                <w:rFonts w:ascii="Times New Roman" w:hAnsi="Times New Roman"/>
                <w:highlight w:val="white"/>
              </w:rPr>
              <w:t>3.5.1</w:t>
            </w:r>
          </w:p>
        </w:tc>
        <w:tc>
          <w:tcPr>
            <w:tcW w:w="2657" w:type="dxa"/>
            <w:noWrap w:val="0"/>
            <w:vAlign w:val="top"/>
          </w:tcPr>
          <w:p w14:paraId="2C67CED4">
            <w:pPr>
              <w:spacing w:line="288" w:lineRule="auto"/>
              <w:jc w:val="center"/>
              <w:rPr>
                <w:rFonts w:ascii="Times New Roman" w:hAnsi="Times New Roman"/>
              </w:rPr>
            </w:pPr>
            <w:r>
              <w:rPr>
                <w:rFonts w:ascii="Times New Roman" w:hAnsi="Times New Roman"/>
                <w:highlight w:val="white"/>
              </w:rPr>
              <w:t>投标人基本情况表应附资料</w:t>
            </w:r>
          </w:p>
        </w:tc>
        <w:tc>
          <w:tcPr>
            <w:tcW w:w="4536" w:type="dxa"/>
            <w:noWrap w:val="0"/>
            <w:vAlign w:val="top"/>
          </w:tcPr>
          <w:p w14:paraId="6FD9E433">
            <w:pPr>
              <w:spacing w:line="276" w:lineRule="auto"/>
              <w:rPr>
                <w:rFonts w:ascii="Times New Roman" w:hAnsi="Times New Roman"/>
                <w:color w:val="000000"/>
                <w:highlight w:val="green"/>
              </w:rPr>
            </w:pPr>
            <w:bookmarkStart w:id="119" w:name="EB484feb6b08c143f6885d18a0f911c043"/>
            <w:r>
              <w:rPr>
                <w:rFonts w:ascii="Times New Roman" w:hAnsi="Times New Roman"/>
                <w:color w:val="0000FF"/>
                <w:highlight w:val="white"/>
              </w:rPr>
              <w:t>详见招标公告附录1</w:t>
            </w:r>
            <w:bookmarkEnd w:id="119"/>
          </w:p>
        </w:tc>
      </w:tr>
      <w:tr w14:paraId="3B1C8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76E3087">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3.5.2</w:t>
            </w:r>
          </w:p>
        </w:tc>
        <w:tc>
          <w:tcPr>
            <w:tcW w:w="2657" w:type="dxa"/>
            <w:noWrap w:val="0"/>
            <w:vAlign w:val="top"/>
          </w:tcPr>
          <w:p w14:paraId="2D94B651">
            <w:pPr>
              <w:spacing w:line="276" w:lineRule="auto"/>
              <w:rPr>
                <w:rFonts w:ascii="Times New Roman" w:hAnsi="Times New Roman"/>
              </w:rPr>
            </w:pPr>
            <w:r>
              <w:rPr>
                <w:rFonts w:ascii="Times New Roman" w:hAnsi="Times New Roman"/>
                <w:highlight w:val="white"/>
              </w:rPr>
              <w:t>近年财务状况的年份要求</w:t>
            </w:r>
          </w:p>
        </w:tc>
        <w:tc>
          <w:tcPr>
            <w:tcW w:w="4536" w:type="dxa"/>
            <w:noWrap w:val="0"/>
            <w:vAlign w:val="top"/>
          </w:tcPr>
          <w:p w14:paraId="051CEA1B">
            <w:pPr>
              <w:spacing w:line="276" w:lineRule="auto"/>
              <w:rPr>
                <w:rFonts w:ascii="Times New Roman" w:hAnsi="Times New Roman"/>
                <w:color w:val="000000"/>
                <w:highlight w:val="green"/>
              </w:rPr>
            </w:pPr>
            <w:r>
              <w:rPr>
                <w:rFonts w:ascii="Times New Roman" w:hAnsi="Times New Roman"/>
                <w:color w:val="000000"/>
                <w:highlight w:val="white"/>
              </w:rPr>
              <w:t>近</w:t>
            </w:r>
            <w:bookmarkStart w:id="120" w:name="EB36c44d9f1a7a4df3a13db2f425cf4ab1"/>
            <w:r>
              <w:rPr>
                <w:rFonts w:ascii="Times New Roman" w:hAnsi="Times New Roman"/>
                <w:color w:val="0000FF"/>
                <w:highlight w:val="white"/>
              </w:rPr>
              <w:t>/</w:t>
            </w:r>
            <w:bookmarkEnd w:id="120"/>
            <w:r>
              <w:rPr>
                <w:rFonts w:ascii="Times New Roman" w:hAnsi="Times New Roman"/>
                <w:color w:val="000000"/>
                <w:highlight w:val="white"/>
              </w:rPr>
              <w:t>年，即</w:t>
            </w:r>
            <w:bookmarkStart w:id="121" w:name="EBc4cc79e33ff5414a8b9c20100e51d0d1"/>
            <w:r>
              <w:rPr>
                <w:rFonts w:ascii="Times New Roman" w:hAnsi="Times New Roman"/>
                <w:color w:val="0000FF"/>
                <w:highlight w:val="white"/>
              </w:rPr>
              <w:t>/</w:t>
            </w:r>
            <w:bookmarkEnd w:id="121"/>
            <w:r>
              <w:rPr>
                <w:rFonts w:ascii="Times New Roman" w:hAnsi="Times New Roman"/>
                <w:color w:val="000000"/>
                <w:highlight w:val="white"/>
              </w:rPr>
              <w:t>至</w:t>
            </w:r>
            <w:bookmarkStart w:id="122" w:name="EBfdd5784db5bf42b7904c0c6b61ae4d80"/>
            <w:r>
              <w:rPr>
                <w:rFonts w:ascii="Times New Roman" w:hAnsi="Times New Roman"/>
                <w:color w:val="0000FF"/>
                <w:highlight w:val="white"/>
              </w:rPr>
              <w:t>/</w:t>
            </w:r>
            <w:bookmarkEnd w:id="122"/>
            <w:r>
              <w:rPr>
                <w:rFonts w:ascii="Times New Roman" w:hAnsi="Times New Roman"/>
                <w:color w:val="000000"/>
                <w:highlight w:val="white"/>
              </w:rPr>
              <w:t>年</w:t>
            </w:r>
          </w:p>
        </w:tc>
      </w:tr>
      <w:tr w14:paraId="2F69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vMerge w:val="restart"/>
            <w:noWrap w:val="0"/>
            <w:vAlign w:val="center"/>
          </w:tcPr>
          <w:p w14:paraId="3B5CCC6B">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3.5.3</w:t>
            </w:r>
          </w:p>
        </w:tc>
        <w:tc>
          <w:tcPr>
            <w:tcW w:w="2657" w:type="dxa"/>
            <w:vMerge w:val="restart"/>
            <w:noWrap w:val="0"/>
            <w:vAlign w:val="center"/>
          </w:tcPr>
          <w:p w14:paraId="38EE0280">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highlight w:val="white"/>
                <w:lang w:val="en-US" w:eastAsia="zh-CN" w:bidi="ar-SA"/>
              </w:rPr>
              <w:t>近年承担过的类似项目情况表</w:t>
            </w:r>
            <w:r>
              <w:rPr>
                <w:rFonts w:ascii="Times New Roman" w:hAnsi="Times New Roman" w:eastAsia="宋体" w:cs="Times New Roman"/>
                <w:kern w:val="2"/>
                <w:sz w:val="21"/>
                <w:szCs w:val="21"/>
                <w:highlight w:val="white"/>
                <w:lang w:val="en-US" w:eastAsia="zh-CN" w:bidi="ar-SA"/>
              </w:rPr>
              <w:t>应附资料和具体时间要求</w:t>
            </w:r>
          </w:p>
        </w:tc>
        <w:tc>
          <w:tcPr>
            <w:tcW w:w="4536" w:type="dxa"/>
            <w:noWrap w:val="0"/>
            <w:vAlign w:val="top"/>
          </w:tcPr>
          <w:p w14:paraId="7D878057">
            <w:pPr>
              <w:spacing w:line="276" w:lineRule="auto"/>
              <w:rPr>
                <w:rFonts w:ascii="Times New Roman" w:hAnsi="Times New Roman"/>
                <w:highlight w:val="green"/>
              </w:rPr>
            </w:pPr>
            <w:bookmarkStart w:id="123" w:name="EBcede839304af4e039eb754c1460a807b"/>
            <w:r>
              <w:rPr>
                <w:rFonts w:ascii="Times New Roman" w:hAnsi="Times New Roman"/>
                <w:color w:val="0000FF"/>
                <w:highlight w:val="white"/>
              </w:rPr>
              <w:t>详见招标公告附录2</w:t>
            </w:r>
            <w:bookmarkEnd w:id="123"/>
          </w:p>
        </w:tc>
      </w:tr>
      <w:tr w14:paraId="6616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vMerge w:val="continue"/>
            <w:noWrap w:val="0"/>
            <w:vAlign w:val="center"/>
          </w:tcPr>
          <w:p w14:paraId="4684B759">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p>
        </w:tc>
        <w:tc>
          <w:tcPr>
            <w:tcW w:w="2657" w:type="dxa"/>
            <w:vMerge w:val="continue"/>
            <w:noWrap w:val="0"/>
            <w:vAlign w:val="center"/>
          </w:tcPr>
          <w:p w14:paraId="4D02F2DD">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p>
        </w:tc>
        <w:tc>
          <w:tcPr>
            <w:tcW w:w="4536" w:type="dxa"/>
            <w:noWrap w:val="0"/>
            <w:vAlign w:val="top"/>
          </w:tcPr>
          <w:p w14:paraId="65A62D35">
            <w:pPr>
              <w:spacing w:line="276" w:lineRule="auto"/>
              <w:rPr>
                <w:rFonts w:ascii="Times New Roman" w:hAnsi="Times New Roman"/>
              </w:rPr>
            </w:pPr>
            <w:r>
              <w:rPr>
                <w:rFonts w:ascii="Times New Roman" w:hAnsi="Times New Roman"/>
                <w:highlight w:val="white"/>
              </w:rPr>
              <w:t>近</w:t>
            </w:r>
            <w:r>
              <w:rPr>
                <w:rFonts w:hint="eastAsia" w:ascii="Times New Roman" w:hAnsi="Times New Roman"/>
                <w:color w:val="0000FF"/>
                <w:highlight w:val="white"/>
                <w:lang w:val="en-US" w:eastAsia="zh-CN"/>
              </w:rPr>
              <w:t>5</w:t>
            </w:r>
            <w:r>
              <w:rPr>
                <w:rFonts w:ascii="Times New Roman" w:hAnsi="Times New Roman"/>
                <w:highlight w:val="white"/>
              </w:rPr>
              <w:t>年，即</w:t>
            </w:r>
            <w:bookmarkStart w:id="124" w:name="EB1654eafe479249bcb80c27e03b48af24"/>
            <w:bookmarkEnd w:id="124"/>
            <w:r>
              <w:rPr>
                <w:rFonts w:hint="eastAsia"/>
                <w:color w:val="0000FF"/>
                <w:kern w:val="2"/>
                <w:sz w:val="21"/>
                <w:szCs w:val="22"/>
                <w:highlight w:val="white"/>
                <w:lang w:val="en-US" w:eastAsia="zh-CN" w:bidi="ar-SA"/>
              </w:rPr>
              <w:t>2021年</w:t>
            </w:r>
            <w:r>
              <w:rPr>
                <w:rFonts w:hint="eastAsia" w:ascii="Calibri" w:hAnsi="Calibri"/>
                <w:color w:val="0000FF"/>
                <w:kern w:val="2"/>
                <w:sz w:val="21"/>
                <w:szCs w:val="22"/>
                <w:highlight w:val="white"/>
                <w:lang w:val="en-US" w:eastAsia="zh-CN" w:bidi="ar-SA"/>
              </w:rPr>
              <w:t>01月01日</w:t>
            </w:r>
            <w:r>
              <w:rPr>
                <w:rFonts w:ascii="Times New Roman" w:hAnsi="Times New Roman"/>
                <w:highlight w:val="white"/>
              </w:rPr>
              <w:t>至投标截止日期前一日</w:t>
            </w:r>
          </w:p>
        </w:tc>
      </w:tr>
      <w:tr w14:paraId="4A96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vMerge w:val="continue"/>
            <w:noWrap w:val="0"/>
            <w:vAlign w:val="center"/>
          </w:tcPr>
          <w:p w14:paraId="2581CF6C">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p>
        </w:tc>
        <w:tc>
          <w:tcPr>
            <w:tcW w:w="2657" w:type="dxa"/>
            <w:noWrap w:val="0"/>
            <w:vAlign w:val="center"/>
          </w:tcPr>
          <w:p w14:paraId="28290C3C">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“类似项目”</w:t>
            </w:r>
          </w:p>
        </w:tc>
        <w:tc>
          <w:tcPr>
            <w:tcW w:w="4536" w:type="dxa"/>
            <w:noWrap w:val="0"/>
            <w:vAlign w:val="top"/>
          </w:tcPr>
          <w:p w14:paraId="432444D8">
            <w:pPr>
              <w:spacing w:line="276" w:lineRule="auto"/>
              <w:rPr>
                <w:rFonts w:ascii="Times New Roman" w:hAnsi="Times New Roman"/>
              </w:rPr>
            </w:pPr>
            <w:r>
              <w:rPr>
                <w:rFonts w:ascii="Times New Roman" w:hAnsi="Times New Roman"/>
                <w:highlight w:val="white"/>
              </w:rPr>
              <w:t>“类似项目”是指：</w:t>
            </w:r>
            <w:bookmarkStart w:id="125" w:name="EB1f983b9854ab46f7ab6ba023f17e50b6"/>
            <w:r>
              <w:rPr>
                <w:rFonts w:ascii="Times New Roman" w:hAnsi="Times New Roman"/>
                <w:color w:val="0000FF"/>
                <w:highlight w:val="white"/>
              </w:rPr>
              <w:t>详见招标公告附录2</w:t>
            </w:r>
            <w:bookmarkEnd w:id="125"/>
          </w:p>
        </w:tc>
      </w:tr>
      <w:tr w14:paraId="13C8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1E7A9FE">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3.5.4</w:t>
            </w:r>
          </w:p>
        </w:tc>
        <w:tc>
          <w:tcPr>
            <w:tcW w:w="2657" w:type="dxa"/>
            <w:noWrap w:val="0"/>
            <w:vAlign w:val="center"/>
          </w:tcPr>
          <w:p w14:paraId="52CC9FE0">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正在服务和新承接的项目情况表应附资料</w:t>
            </w:r>
          </w:p>
        </w:tc>
        <w:tc>
          <w:tcPr>
            <w:tcW w:w="4536" w:type="dxa"/>
            <w:noWrap w:val="0"/>
            <w:vAlign w:val="top"/>
          </w:tcPr>
          <w:p w14:paraId="314B23A3">
            <w:pPr>
              <w:spacing w:line="276" w:lineRule="auto"/>
              <w:rPr>
                <w:rFonts w:ascii="Times New Roman" w:hAnsi="Times New Roman"/>
                <w:highlight w:val="green"/>
              </w:rPr>
            </w:pPr>
            <w:bookmarkStart w:id="126" w:name="EB496b0c3fc8b4400593c9f53bed7d1fbf"/>
            <w:r>
              <w:rPr>
                <w:rFonts w:ascii="Times New Roman" w:hAnsi="Times New Roman"/>
                <w:color w:val="0000FF"/>
                <w:highlight w:val="white"/>
              </w:rPr>
              <w:t>/</w:t>
            </w:r>
            <w:bookmarkEnd w:id="126"/>
          </w:p>
        </w:tc>
      </w:tr>
      <w:tr w14:paraId="56116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D1103CE">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3.5.5</w:t>
            </w:r>
          </w:p>
        </w:tc>
        <w:tc>
          <w:tcPr>
            <w:tcW w:w="2657" w:type="dxa"/>
            <w:noWrap w:val="0"/>
            <w:vAlign w:val="center"/>
          </w:tcPr>
          <w:p w14:paraId="151635CC">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近年发生的诉讼及仲裁情况具体时间要求</w:t>
            </w:r>
          </w:p>
        </w:tc>
        <w:tc>
          <w:tcPr>
            <w:tcW w:w="4536" w:type="dxa"/>
            <w:noWrap w:val="0"/>
            <w:vAlign w:val="top"/>
          </w:tcPr>
          <w:p w14:paraId="450A9A02">
            <w:pPr>
              <w:spacing w:line="276" w:lineRule="auto"/>
              <w:rPr>
                <w:rFonts w:ascii="Times New Roman" w:hAnsi="Times New Roman"/>
              </w:rPr>
            </w:pPr>
            <w:r>
              <w:rPr>
                <w:rFonts w:ascii="Times New Roman" w:hAnsi="Times New Roman"/>
                <w:highlight w:val="white"/>
              </w:rPr>
              <w:t>近</w:t>
            </w:r>
            <w:bookmarkStart w:id="127" w:name="EBa07bc93ab89842d9bc8f3be29cc72bf0"/>
            <w:r>
              <w:rPr>
                <w:rFonts w:ascii="Times New Roman" w:hAnsi="Times New Roman"/>
                <w:color w:val="0000FF"/>
                <w:highlight w:val="white"/>
              </w:rPr>
              <w:t>/</w:t>
            </w:r>
            <w:bookmarkEnd w:id="127"/>
            <w:r>
              <w:rPr>
                <w:rFonts w:ascii="Times New Roman" w:hAnsi="Times New Roman"/>
                <w:highlight w:val="white"/>
              </w:rPr>
              <w:t>年，即</w:t>
            </w:r>
            <w:bookmarkStart w:id="128" w:name="EB83ee7df603a543fdb5d2a9ff801230dd"/>
            <w:bookmarkEnd w:id="128"/>
            <w:r>
              <w:rPr>
                <w:rFonts w:ascii="Times New Roman" w:hAnsi="Times New Roman"/>
                <w:highlight w:val="white"/>
              </w:rPr>
              <w:t>至投标截止日期前一日</w:t>
            </w:r>
          </w:p>
        </w:tc>
      </w:tr>
      <w:tr w14:paraId="22260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041CCF0D">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3.5.6</w:t>
            </w:r>
          </w:p>
        </w:tc>
        <w:tc>
          <w:tcPr>
            <w:tcW w:w="2657" w:type="dxa"/>
            <w:noWrap w:val="0"/>
            <w:vAlign w:val="center"/>
          </w:tcPr>
          <w:p w14:paraId="79937E9C">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投标人信誉声明应附资料</w:t>
            </w:r>
          </w:p>
        </w:tc>
        <w:tc>
          <w:tcPr>
            <w:tcW w:w="4536" w:type="dxa"/>
            <w:noWrap w:val="0"/>
            <w:vAlign w:val="top"/>
          </w:tcPr>
          <w:p w14:paraId="566FFC51">
            <w:pPr>
              <w:spacing w:line="276" w:lineRule="auto"/>
              <w:rPr>
                <w:rFonts w:ascii="Times New Roman" w:hAnsi="Times New Roman"/>
              </w:rPr>
            </w:pPr>
            <w:bookmarkStart w:id="129" w:name="EBf990812de8604b4cba90dd9e044c287b"/>
            <w:r>
              <w:rPr>
                <w:rFonts w:ascii="Times New Roman" w:hAnsi="Times New Roman"/>
                <w:color w:val="0000FF"/>
                <w:highlight w:val="white"/>
              </w:rPr>
              <w:t>详见招标公告附录4</w:t>
            </w:r>
            <w:bookmarkEnd w:id="129"/>
            <w:r>
              <w:rPr>
                <w:rFonts w:ascii="Times New Roman" w:hAnsi="Times New Roman"/>
                <w:highlight w:val="white"/>
              </w:rPr>
              <w:t>其他证明材料要求：</w:t>
            </w:r>
            <w:bookmarkStart w:id="130" w:name="EB758a15cf9f5f4577967bdefd83682f63"/>
            <w:r>
              <w:rPr>
                <w:rFonts w:ascii="Times New Roman" w:hAnsi="Times New Roman"/>
                <w:color w:val="0000FF"/>
                <w:highlight w:val="white"/>
              </w:rPr>
              <w:t>/</w:t>
            </w:r>
            <w:bookmarkEnd w:id="130"/>
          </w:p>
        </w:tc>
      </w:tr>
      <w:tr w14:paraId="12E1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5A7CE9E5">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3.5.7</w:t>
            </w:r>
          </w:p>
        </w:tc>
        <w:tc>
          <w:tcPr>
            <w:tcW w:w="2657" w:type="dxa"/>
            <w:noWrap w:val="0"/>
            <w:vAlign w:val="center"/>
          </w:tcPr>
          <w:p w14:paraId="17926FE6">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主要人员简历表应附资料</w:t>
            </w:r>
          </w:p>
        </w:tc>
        <w:tc>
          <w:tcPr>
            <w:tcW w:w="4536" w:type="dxa"/>
            <w:noWrap w:val="0"/>
            <w:vAlign w:val="top"/>
          </w:tcPr>
          <w:p w14:paraId="55021A9E">
            <w:pPr>
              <w:spacing w:line="276" w:lineRule="auto"/>
              <w:rPr>
                <w:rFonts w:ascii="Times New Roman" w:hAnsi="Times New Roman"/>
                <w:highlight w:val="green"/>
              </w:rPr>
            </w:pPr>
            <w:bookmarkStart w:id="131" w:name="EB36777a73d6a84d388a2273649bc5f58d"/>
            <w:r>
              <w:rPr>
                <w:rFonts w:ascii="Times New Roman" w:hAnsi="Times New Roman"/>
                <w:color w:val="0000FF"/>
                <w:highlight w:val="white"/>
              </w:rPr>
              <w:t>详见招标公告附录3</w:t>
            </w:r>
            <w:bookmarkEnd w:id="131"/>
          </w:p>
        </w:tc>
      </w:tr>
      <w:tr w14:paraId="03E8F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7DE76ED">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3.5.8</w:t>
            </w:r>
          </w:p>
        </w:tc>
        <w:tc>
          <w:tcPr>
            <w:tcW w:w="2657" w:type="dxa"/>
            <w:noWrap w:val="0"/>
            <w:vAlign w:val="center"/>
          </w:tcPr>
          <w:p w14:paraId="004C0EFA">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其他要求资格审查资料应附资料</w:t>
            </w:r>
          </w:p>
        </w:tc>
        <w:tc>
          <w:tcPr>
            <w:tcW w:w="4536" w:type="dxa"/>
            <w:noWrap w:val="0"/>
            <w:vAlign w:val="top"/>
          </w:tcPr>
          <w:p w14:paraId="0EFA1470">
            <w:pPr>
              <w:spacing w:line="276" w:lineRule="auto"/>
              <w:rPr>
                <w:rFonts w:ascii="Times New Roman" w:hAnsi="Times New Roman"/>
                <w:highlight w:val="green"/>
              </w:rPr>
            </w:pPr>
            <w:bookmarkStart w:id="132" w:name="EB8d702a2ae548416e9f3ee688255be0a9"/>
            <w:r>
              <w:rPr>
                <w:rFonts w:ascii="Times New Roman" w:hAnsi="Times New Roman"/>
                <w:color w:val="0000FF"/>
                <w:highlight w:val="white"/>
              </w:rPr>
              <w:t>/</w:t>
            </w:r>
            <w:bookmarkEnd w:id="132"/>
          </w:p>
        </w:tc>
      </w:tr>
      <w:tr w14:paraId="6F06D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14DD0A4">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3.6</w:t>
            </w:r>
            <w:r>
              <w:rPr>
                <w:rFonts w:ascii="Times New Roman" w:hAnsi="Times New Roman" w:eastAsia="宋体" w:cs="Times New Roman"/>
                <w:kern w:val="2"/>
                <w:sz w:val="21"/>
                <w:szCs w:val="21"/>
                <w:highlight w:val="white"/>
                <w:lang w:val="en-US" w:eastAsia="zh-CN" w:bidi="ar-SA"/>
              </w:rPr>
              <w:tab/>
            </w:r>
          </w:p>
        </w:tc>
        <w:tc>
          <w:tcPr>
            <w:tcW w:w="2657" w:type="dxa"/>
            <w:noWrap w:val="0"/>
            <w:vAlign w:val="center"/>
          </w:tcPr>
          <w:p w14:paraId="4BDF59AE">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是否允许递交备选投标方案</w:t>
            </w:r>
          </w:p>
        </w:tc>
        <w:tc>
          <w:tcPr>
            <w:tcW w:w="4536" w:type="dxa"/>
            <w:noWrap w:val="0"/>
            <w:vAlign w:val="top"/>
          </w:tcPr>
          <w:p w14:paraId="6AD1EA4A">
            <w:pPr>
              <w:spacing w:line="276" w:lineRule="auto"/>
              <w:rPr>
                <w:rFonts w:ascii="Times New Roman" w:hAnsi="Times New Roman"/>
              </w:rPr>
            </w:pPr>
            <w:bookmarkStart w:id="133" w:name="EBe0ad7735ccd5419cab9284056ab6c625"/>
            <w:r>
              <w:rPr>
                <w:rFonts w:ascii="Segoe UI Symbol" w:hAnsi="Segoe UI Symbol" w:cs="Segoe UI Symbol"/>
                <w:color w:val="0000FF"/>
                <w:highlight w:val="white"/>
              </w:rPr>
              <w:t>☑</w:t>
            </w:r>
            <w:bookmarkEnd w:id="133"/>
            <w:r>
              <w:rPr>
                <w:rFonts w:ascii="Times New Roman" w:hAnsi="Times New Roman"/>
                <w:highlight w:val="white"/>
              </w:rPr>
              <w:t>不允许</w:t>
            </w:r>
          </w:p>
          <w:p w14:paraId="0EFA2F18">
            <w:pPr>
              <w:spacing w:line="276" w:lineRule="auto"/>
              <w:rPr>
                <w:rFonts w:ascii="Times New Roman" w:hAnsi="Times New Roman"/>
              </w:rPr>
            </w:pPr>
            <w:bookmarkStart w:id="134" w:name="EBf69188625753452c9ed1f3fd591cec6b"/>
            <w:r>
              <w:rPr>
                <w:rFonts w:ascii="Times New Roman" w:hAnsi="Times New Roman"/>
                <w:color w:val="0000FF"/>
                <w:highlight w:val="white"/>
              </w:rPr>
              <w:t>□</w:t>
            </w:r>
            <w:bookmarkEnd w:id="134"/>
            <w:r>
              <w:rPr>
                <w:rFonts w:ascii="Times New Roman" w:hAnsi="Times New Roman"/>
                <w:highlight w:val="white"/>
              </w:rPr>
              <w:t>允许，递交备选投标方案的具体要求</w:t>
            </w:r>
            <w:bookmarkStart w:id="135" w:name="EBce0101827cca47129e70525bc980a5d8"/>
            <w:bookmarkEnd w:id="135"/>
          </w:p>
        </w:tc>
      </w:tr>
      <w:tr w14:paraId="4155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707AD4D">
            <w:pPr>
              <w:widowControl w:val="0"/>
              <w:spacing w:line="276" w:lineRule="auto"/>
              <w:ind w:firstLine="0" w:firstLineChars="0"/>
              <w:jc w:val="center"/>
              <w:rPr>
                <w:rFonts w:hint="default" w:ascii="Times New Roman" w:hAnsi="Times New Roman" w:eastAsia="宋体" w:cs="Times New Roman"/>
                <w:kern w:val="2"/>
                <w:sz w:val="21"/>
                <w:szCs w:val="21"/>
                <w:highlight w:val="white"/>
                <w:lang w:val="en-US" w:eastAsia="zh-CN" w:bidi="ar-SA"/>
              </w:rPr>
            </w:pPr>
            <w:r>
              <w:rPr>
                <w:rFonts w:hint="eastAsia" w:ascii="Times New Roman" w:hAnsi="Times New Roman" w:cs="Times New Roman"/>
                <w:kern w:val="2"/>
                <w:sz w:val="21"/>
                <w:szCs w:val="21"/>
                <w:highlight w:val="white"/>
                <w:lang w:val="en-US" w:eastAsia="zh-CN" w:bidi="ar-SA"/>
              </w:rPr>
              <w:t>3.7.4</w:t>
            </w:r>
          </w:p>
        </w:tc>
        <w:tc>
          <w:tcPr>
            <w:tcW w:w="2657" w:type="dxa"/>
            <w:noWrap w:val="0"/>
            <w:vAlign w:val="center"/>
          </w:tcPr>
          <w:p w14:paraId="237AC8C5">
            <w:pPr>
              <w:widowControl w:val="0"/>
              <w:spacing w:line="276" w:lineRule="auto"/>
              <w:ind w:firstLine="0" w:firstLineChars="0"/>
              <w:jc w:val="both"/>
              <w:rPr>
                <w:rFonts w:ascii="Times New Roman" w:hAnsi="Times New Roman" w:eastAsia="宋体" w:cs="Times New Roman"/>
                <w:kern w:val="2"/>
                <w:sz w:val="21"/>
                <w:szCs w:val="21"/>
                <w:highlight w:val="white"/>
                <w:lang w:val="en-US" w:eastAsia="zh-CN" w:bidi="ar-SA"/>
              </w:rPr>
            </w:pPr>
            <w:r>
              <w:rPr>
                <w:rFonts w:hint="eastAsia" w:ascii="Times New Roman" w:hAnsi="Times New Roman"/>
                <w:szCs w:val="21"/>
                <w:highlight w:val="white"/>
              </w:rPr>
              <w:t>是否采用“技术暗标”</w:t>
            </w:r>
          </w:p>
        </w:tc>
        <w:tc>
          <w:tcPr>
            <w:tcW w:w="4536" w:type="dxa"/>
            <w:noWrap w:val="0"/>
            <w:vAlign w:val="top"/>
          </w:tcPr>
          <w:p w14:paraId="4B101266">
            <w:pPr>
              <w:spacing w:line="276" w:lineRule="auto"/>
              <w:rPr>
                <w:rFonts w:hint="eastAsia" w:ascii="Times New Roman" w:hAnsi="Times New Roman"/>
                <w:color w:val="0000FF"/>
                <w:highlight w:val="white"/>
              </w:rPr>
            </w:pPr>
            <w:r>
              <w:rPr>
                <w:rFonts w:hint="eastAsia" w:ascii="Times New Roman" w:hAnsi="Times New Roman"/>
                <w:color w:val="0000FF"/>
                <w:highlight w:val="white"/>
              </w:rPr>
              <w:t>☑采用</w:t>
            </w:r>
          </w:p>
          <w:p w14:paraId="7EC7A05D">
            <w:pPr>
              <w:spacing w:line="276" w:lineRule="auto"/>
              <w:rPr>
                <w:rFonts w:ascii="Times New Roman" w:hAnsi="Times New Roman"/>
                <w:color w:val="0000FF"/>
                <w:highlight w:val="white"/>
              </w:rPr>
            </w:pPr>
            <w:r>
              <w:rPr>
                <w:rFonts w:hint="eastAsia" w:ascii="Times New Roman" w:hAnsi="Times New Roman"/>
                <w:color w:val="0000FF"/>
                <w:highlight w:val="white"/>
              </w:rPr>
              <w:t>□不采用</w:t>
            </w:r>
          </w:p>
        </w:tc>
      </w:tr>
      <w:tr w14:paraId="5BC5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8C39C8C">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3.7.</w:t>
            </w:r>
            <w:r>
              <w:rPr>
                <w:rFonts w:hint="eastAsia" w:ascii="Times New Roman" w:hAnsi="Times New Roman" w:cs="Times New Roman"/>
                <w:kern w:val="2"/>
                <w:sz w:val="21"/>
                <w:szCs w:val="21"/>
                <w:highlight w:val="white"/>
                <w:lang w:val="en-US" w:eastAsia="zh-CN" w:bidi="ar-SA"/>
              </w:rPr>
              <w:t>5</w:t>
            </w:r>
          </w:p>
        </w:tc>
        <w:tc>
          <w:tcPr>
            <w:tcW w:w="2657" w:type="dxa"/>
            <w:noWrap w:val="0"/>
            <w:vAlign w:val="center"/>
          </w:tcPr>
          <w:p w14:paraId="15AFA346">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中标人提供的纸质版</w:t>
            </w:r>
          </w:p>
          <w:p w14:paraId="255A6E32">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投标文件份数</w:t>
            </w:r>
          </w:p>
        </w:tc>
        <w:tc>
          <w:tcPr>
            <w:tcW w:w="4536" w:type="dxa"/>
            <w:noWrap w:val="0"/>
            <w:vAlign w:val="top"/>
          </w:tcPr>
          <w:p w14:paraId="36565CF0">
            <w:pPr>
              <w:spacing w:line="276" w:lineRule="auto"/>
              <w:rPr>
                <w:rFonts w:ascii="Times New Roman" w:hAnsi="Times New Roman"/>
              </w:rPr>
            </w:pPr>
            <w:r>
              <w:rPr>
                <w:rFonts w:ascii="Times New Roman" w:hAnsi="Times New Roman"/>
                <w:highlight w:val="white"/>
              </w:rPr>
              <w:t>份数：</w:t>
            </w:r>
            <w:bookmarkStart w:id="136" w:name="EB6b5bdce0291e41d09e51fd2eaa5876d7"/>
            <w:r>
              <w:rPr>
                <w:rFonts w:ascii="Times New Roman" w:hAnsi="Times New Roman"/>
                <w:color w:val="0000FF"/>
                <w:highlight w:val="white"/>
              </w:rPr>
              <w:t>6</w:t>
            </w:r>
            <w:bookmarkEnd w:id="136"/>
            <w:r>
              <w:rPr>
                <w:rFonts w:ascii="Times New Roman" w:hAnsi="Times New Roman"/>
                <w:highlight w:val="white"/>
              </w:rPr>
              <w:t>，中标人提交的纸质投标文件应当与投标时的电子投标文件内容一致。</w:t>
            </w:r>
          </w:p>
        </w:tc>
      </w:tr>
      <w:tr w14:paraId="569E5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CC2B51F">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4.2.1</w:t>
            </w:r>
          </w:p>
        </w:tc>
        <w:tc>
          <w:tcPr>
            <w:tcW w:w="2657" w:type="dxa"/>
            <w:noWrap w:val="0"/>
            <w:vAlign w:val="center"/>
          </w:tcPr>
          <w:p w14:paraId="3B7DB12D">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投标截止时间</w:t>
            </w:r>
          </w:p>
        </w:tc>
        <w:tc>
          <w:tcPr>
            <w:tcW w:w="4536" w:type="dxa"/>
            <w:noWrap w:val="0"/>
            <w:vAlign w:val="top"/>
          </w:tcPr>
          <w:p w14:paraId="333E4FB9">
            <w:pPr>
              <w:spacing w:line="276" w:lineRule="auto"/>
              <w:rPr>
                <w:rFonts w:ascii="Times New Roman" w:hAnsi="Times New Roman"/>
                <w:highlight w:val="green"/>
              </w:rPr>
            </w:pPr>
            <w:bookmarkStart w:id="137" w:name="EBc88810340175429fbd482de403410f0d"/>
            <w:bookmarkEnd w:id="137"/>
            <w:r>
              <w:rPr>
                <w:rFonts w:hint="eastAsia" w:ascii="Calibri" w:eastAsia="宋体"/>
                <w:color w:val="0000FF"/>
                <w:kern w:val="2"/>
                <w:sz w:val="21"/>
                <w:szCs w:val="22"/>
                <w:highlight w:val="none"/>
                <w:lang w:val="en-US" w:eastAsia="zh-CN" w:bidi="ar-SA"/>
              </w:rPr>
              <w:t xml:space="preserve">    </w:t>
            </w:r>
            <w:r>
              <w:rPr>
                <w:rFonts w:hint="eastAsia" w:ascii="Calibri" w:hAnsi="Calibri"/>
                <w:color w:val="0000FF"/>
                <w:kern w:val="2"/>
                <w:sz w:val="21"/>
                <w:szCs w:val="22"/>
                <w:highlight w:val="none"/>
                <w:lang w:val="en-US" w:eastAsia="zh-CN" w:bidi="ar-SA"/>
              </w:rPr>
              <w:t>-</w:t>
            </w:r>
            <w:r>
              <w:rPr>
                <w:rFonts w:hint="eastAsia" w:ascii="Calibri" w:eastAsia="宋体"/>
                <w:color w:val="0000FF"/>
                <w:kern w:val="2"/>
                <w:sz w:val="21"/>
                <w:szCs w:val="22"/>
                <w:highlight w:val="none"/>
                <w:lang w:val="en-US" w:eastAsia="zh-CN" w:bidi="ar-SA"/>
              </w:rPr>
              <w:t xml:space="preserve">   </w:t>
            </w:r>
            <w:r>
              <w:rPr>
                <w:rFonts w:hint="eastAsia" w:ascii="Calibri" w:hAnsi="Calibri"/>
                <w:color w:val="0000FF"/>
                <w:kern w:val="2"/>
                <w:sz w:val="21"/>
                <w:szCs w:val="22"/>
                <w:highlight w:val="none"/>
                <w:lang w:val="en-US" w:eastAsia="zh-CN" w:bidi="ar-SA"/>
              </w:rPr>
              <w:t>-</w:t>
            </w:r>
            <w:r>
              <w:rPr>
                <w:rFonts w:hint="eastAsia" w:ascii="Calibri" w:eastAsia="宋体"/>
                <w:color w:val="0000FF"/>
                <w:kern w:val="2"/>
                <w:sz w:val="21"/>
                <w:szCs w:val="22"/>
                <w:highlight w:val="none"/>
                <w:lang w:val="en-US" w:eastAsia="zh-CN" w:bidi="ar-SA"/>
              </w:rPr>
              <w:t xml:space="preserve">  </w:t>
            </w:r>
            <w:r>
              <w:rPr>
                <w:rFonts w:hint="eastAsia" w:ascii="Calibri" w:hAnsi="Calibri"/>
                <w:color w:val="0000FF"/>
                <w:kern w:val="2"/>
                <w:sz w:val="21"/>
                <w:szCs w:val="22"/>
                <w:highlight w:val="none"/>
                <w:lang w:val="en-US" w:eastAsia="zh-CN" w:bidi="ar-SA"/>
              </w:rPr>
              <w:t xml:space="preserve"> </w:t>
            </w:r>
            <w:r>
              <w:rPr>
                <w:rFonts w:hint="eastAsia" w:ascii="Calibri" w:hAnsi="Calibri"/>
                <w:color w:val="0000FF"/>
                <w:kern w:val="2"/>
                <w:sz w:val="21"/>
                <w:szCs w:val="22"/>
                <w:highlight w:val="white"/>
                <w:lang w:val="en-US" w:eastAsia="zh-CN" w:bidi="ar-SA"/>
              </w:rPr>
              <w:t xml:space="preserve"> 09:30:00</w:t>
            </w:r>
            <w:r>
              <w:rPr>
                <w:rFonts w:ascii="Times New Roman" w:hAnsi="Times New Roman"/>
                <w:color w:val="000000"/>
                <w:highlight w:val="white"/>
              </w:rPr>
              <w:t>（北京时间）</w:t>
            </w:r>
          </w:p>
        </w:tc>
      </w:tr>
      <w:tr w14:paraId="4C97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F90511C">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5.1</w:t>
            </w:r>
            <w:r>
              <w:rPr>
                <w:rFonts w:ascii="Times New Roman" w:hAnsi="Times New Roman" w:eastAsia="宋体" w:cs="Times New Roman"/>
                <w:kern w:val="2"/>
                <w:sz w:val="21"/>
                <w:szCs w:val="21"/>
                <w:highlight w:val="white"/>
                <w:lang w:val="en-US" w:eastAsia="zh-CN" w:bidi="ar-SA"/>
              </w:rPr>
              <w:tab/>
            </w:r>
          </w:p>
        </w:tc>
        <w:tc>
          <w:tcPr>
            <w:tcW w:w="2657" w:type="dxa"/>
            <w:noWrap w:val="0"/>
            <w:vAlign w:val="center"/>
          </w:tcPr>
          <w:p w14:paraId="1EED0725">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组织开标地点</w:t>
            </w:r>
          </w:p>
        </w:tc>
        <w:tc>
          <w:tcPr>
            <w:tcW w:w="4536" w:type="dxa"/>
            <w:noWrap w:val="0"/>
            <w:vAlign w:val="top"/>
          </w:tcPr>
          <w:p w14:paraId="4517E6E8">
            <w:pPr>
              <w:spacing w:line="276" w:lineRule="auto"/>
              <w:rPr>
                <w:rFonts w:ascii="Times New Roman" w:hAnsi="Times New Roman"/>
                <w:highlight w:val="green"/>
              </w:rPr>
            </w:pPr>
            <w:bookmarkStart w:id="138" w:name="EB6cbb83ab1eef4752bbcdbce15dac2840"/>
            <w:r>
              <w:rPr>
                <w:rFonts w:ascii="Times New Roman" w:hAnsi="Times New Roman"/>
                <w:color w:val="0000FF"/>
                <w:highlight w:val="white"/>
              </w:rPr>
              <w:t>武汉市武昌区中北路252号 普提金商务中心A座10楼 湖北省公共资源交易中心1005开标厅</w:t>
            </w:r>
            <w:bookmarkEnd w:id="138"/>
          </w:p>
        </w:tc>
      </w:tr>
      <w:tr w14:paraId="31A99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55968C6E">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5.2.1（5）</w:t>
            </w:r>
          </w:p>
        </w:tc>
        <w:tc>
          <w:tcPr>
            <w:tcW w:w="2657" w:type="dxa"/>
            <w:noWrap w:val="0"/>
            <w:vAlign w:val="center"/>
          </w:tcPr>
          <w:p w14:paraId="0C5464C4">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解密时间</w:t>
            </w:r>
            <w:r>
              <w:rPr>
                <w:rFonts w:ascii="Times New Roman" w:hAnsi="Times New Roman" w:eastAsia="宋体" w:cs="Times New Roman"/>
                <w:kern w:val="2"/>
                <w:sz w:val="21"/>
                <w:szCs w:val="21"/>
                <w:highlight w:val="white"/>
                <w:lang w:val="en-US" w:eastAsia="zh-CN" w:bidi="ar-SA"/>
              </w:rPr>
              <w:tab/>
            </w:r>
          </w:p>
        </w:tc>
        <w:tc>
          <w:tcPr>
            <w:tcW w:w="4536" w:type="dxa"/>
            <w:noWrap w:val="0"/>
            <w:vAlign w:val="top"/>
          </w:tcPr>
          <w:p w14:paraId="3C6E035E">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招标人发出解密提示后30分钟内</w:t>
            </w:r>
          </w:p>
          <w:p w14:paraId="6707D8FB">
            <w:pPr>
              <w:spacing w:line="276" w:lineRule="auto"/>
              <w:rPr>
                <w:rFonts w:ascii="Times New Roman" w:hAnsi="Times New Roman"/>
              </w:rPr>
            </w:pPr>
            <w:r>
              <w:rPr>
                <w:rFonts w:ascii="Times New Roman" w:hAnsi="Times New Roman"/>
                <w:highlight w:val="white"/>
              </w:rPr>
              <w:t>(招标人应充分考虑标段数和投标人数量，合理设置解密时间，该时间不应少于20分钟)</w:t>
            </w:r>
          </w:p>
        </w:tc>
      </w:tr>
      <w:tr w14:paraId="5BEC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697D8320">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6.1.1</w:t>
            </w:r>
          </w:p>
        </w:tc>
        <w:tc>
          <w:tcPr>
            <w:tcW w:w="2657" w:type="dxa"/>
            <w:noWrap w:val="0"/>
            <w:vAlign w:val="center"/>
          </w:tcPr>
          <w:p w14:paraId="739D1C62">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评标委员会的组建</w:t>
            </w:r>
            <w:r>
              <w:rPr>
                <w:rFonts w:ascii="Times New Roman" w:hAnsi="Times New Roman" w:eastAsia="宋体" w:cs="Times New Roman"/>
                <w:kern w:val="2"/>
                <w:sz w:val="21"/>
                <w:szCs w:val="21"/>
                <w:highlight w:val="white"/>
                <w:lang w:val="en-US" w:eastAsia="zh-CN" w:bidi="ar-SA"/>
              </w:rPr>
              <w:tab/>
            </w:r>
          </w:p>
          <w:p w14:paraId="6792E374">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评标委员会构成：</w:t>
            </w:r>
          </w:p>
        </w:tc>
        <w:tc>
          <w:tcPr>
            <w:tcW w:w="4536" w:type="dxa"/>
            <w:noWrap w:val="0"/>
            <w:vAlign w:val="top"/>
          </w:tcPr>
          <w:p w14:paraId="4AF58590">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bookmarkStart w:id="139" w:name="EBff0fc54bbe5c47aba31d2911de6dbd50"/>
            <w:r>
              <w:rPr>
                <w:rFonts w:ascii="Times New Roman" w:hAnsi="Times New Roman" w:eastAsia="宋体" w:cs="Times New Roman"/>
                <w:color w:val="0000FF"/>
                <w:kern w:val="2"/>
                <w:sz w:val="21"/>
                <w:szCs w:val="21"/>
                <w:highlight w:val="white"/>
                <w:lang w:val="en-US" w:eastAsia="zh-CN" w:bidi="ar-SA"/>
              </w:rPr>
              <w:t>7</w:t>
            </w:r>
            <w:bookmarkEnd w:id="139"/>
            <w:r>
              <w:rPr>
                <w:rFonts w:ascii="Times New Roman" w:hAnsi="Times New Roman" w:eastAsia="宋体" w:cs="Times New Roman"/>
                <w:kern w:val="2"/>
                <w:sz w:val="21"/>
                <w:szCs w:val="21"/>
                <w:highlight w:val="white"/>
                <w:lang w:val="en-US" w:eastAsia="zh-CN" w:bidi="ar-SA"/>
              </w:rPr>
              <w:t>人，其中招标人代表</w:t>
            </w:r>
            <w:bookmarkStart w:id="140" w:name="EB38b7c5edda9d4b77a7f0e2f7f2560bb8"/>
            <w:r>
              <w:rPr>
                <w:rFonts w:ascii="Times New Roman" w:hAnsi="Times New Roman" w:eastAsia="宋体" w:cs="Times New Roman"/>
                <w:color w:val="0000FF"/>
                <w:kern w:val="2"/>
                <w:sz w:val="21"/>
                <w:szCs w:val="21"/>
                <w:highlight w:val="white"/>
                <w:lang w:val="en-US" w:eastAsia="zh-CN" w:bidi="ar-SA"/>
              </w:rPr>
              <w:t>2</w:t>
            </w:r>
            <w:bookmarkEnd w:id="140"/>
            <w:r>
              <w:rPr>
                <w:rFonts w:ascii="Times New Roman" w:hAnsi="Times New Roman" w:eastAsia="宋体" w:cs="Times New Roman"/>
                <w:kern w:val="2"/>
                <w:sz w:val="21"/>
                <w:szCs w:val="21"/>
                <w:highlight w:val="white"/>
                <w:lang w:val="en-US" w:eastAsia="zh-CN" w:bidi="ar-SA"/>
              </w:rPr>
              <w:t>人，专家</w:t>
            </w:r>
            <w:bookmarkStart w:id="141" w:name="EB6088c01850fb4d0cb0aba2786752db68"/>
            <w:r>
              <w:rPr>
                <w:rFonts w:ascii="Times New Roman" w:hAnsi="Times New Roman" w:eastAsia="宋体" w:cs="Times New Roman"/>
                <w:color w:val="0000FF"/>
                <w:kern w:val="2"/>
                <w:sz w:val="21"/>
                <w:szCs w:val="21"/>
                <w:highlight w:val="white"/>
                <w:lang w:val="en-US" w:eastAsia="zh-CN" w:bidi="ar-SA"/>
              </w:rPr>
              <w:t>5</w:t>
            </w:r>
            <w:bookmarkEnd w:id="141"/>
            <w:r>
              <w:rPr>
                <w:rFonts w:ascii="Times New Roman" w:hAnsi="Times New Roman" w:eastAsia="宋体" w:cs="Times New Roman"/>
                <w:kern w:val="2"/>
                <w:sz w:val="21"/>
                <w:szCs w:val="21"/>
                <w:highlight w:val="white"/>
                <w:lang w:val="en-US" w:eastAsia="zh-CN" w:bidi="ar-SA"/>
              </w:rPr>
              <w:t>人；</w:t>
            </w:r>
          </w:p>
          <w:p w14:paraId="2A8D1DBC">
            <w:pPr>
              <w:spacing w:line="276" w:lineRule="auto"/>
              <w:rPr>
                <w:rFonts w:ascii="Times New Roman" w:hAnsi="Times New Roman"/>
              </w:rPr>
            </w:pPr>
            <w:r>
              <w:rPr>
                <w:rFonts w:ascii="Times New Roman" w:hAnsi="Times New Roman"/>
                <w:highlight w:val="white"/>
              </w:rPr>
              <w:t>评标专家确定方式：</w:t>
            </w:r>
            <w:bookmarkStart w:id="142" w:name="EB9a5b846dd7c948e4a2cf89534ee801e6"/>
            <w:r>
              <w:rPr>
                <w:rFonts w:hint="eastAsia" w:ascii="Times New Roman" w:hAnsi="Times New Roman"/>
                <w:highlight w:val="white"/>
              </w:rPr>
              <w:t>从省评标专家库相应专业中随机抽取产生</w:t>
            </w:r>
            <w:bookmarkEnd w:id="142"/>
            <w:r>
              <w:rPr>
                <w:rFonts w:ascii="Times New Roman" w:hAnsi="Times New Roman"/>
                <w:highlight w:val="white"/>
              </w:rPr>
              <w:t>。</w:t>
            </w:r>
          </w:p>
        </w:tc>
      </w:tr>
      <w:tr w14:paraId="5248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5634E23">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6.3.2</w:t>
            </w:r>
          </w:p>
        </w:tc>
        <w:tc>
          <w:tcPr>
            <w:tcW w:w="2657" w:type="dxa"/>
            <w:noWrap w:val="0"/>
            <w:vAlign w:val="center"/>
          </w:tcPr>
          <w:p w14:paraId="20B1B94C">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评标委员会推荐中标候选人的人数</w:t>
            </w:r>
          </w:p>
        </w:tc>
        <w:tc>
          <w:tcPr>
            <w:tcW w:w="4536" w:type="dxa"/>
            <w:noWrap w:val="0"/>
            <w:vAlign w:val="top"/>
          </w:tcPr>
          <w:p w14:paraId="7662CF9B">
            <w:pPr>
              <w:spacing w:line="276" w:lineRule="auto"/>
              <w:rPr>
                <w:rFonts w:ascii="Times New Roman" w:hAnsi="Times New Roman"/>
                <w:highlight w:val="green"/>
              </w:rPr>
            </w:pPr>
            <w:bookmarkStart w:id="143" w:name="EBce5bdb8d08dc4c2b89468c7e39e419ec"/>
            <w:r>
              <w:rPr>
                <w:rFonts w:hint="eastAsia" w:ascii="Times New Roman" w:hAnsi="Times New Roman"/>
                <w:color w:val="0000FF"/>
                <w:highlight w:val="white"/>
              </w:rPr>
              <w:t>3 名，不足 3 名时推荐相应数量（评标委员会对投标文件进行评审后，因有效投标不足 3 个的，应当对投标是否明显缺乏竞争和是否需要否决全部投标进行充分论证，并在评标报告中记载论证过程和结果；论证结果为投标明显缺乏竞争的，可以否决全部投标；论证结果未认定为明显缺乏竞争性，未否决全部投标的，评标委员会应当推荐中标候选人）。</w:t>
            </w:r>
            <w:bookmarkEnd w:id="143"/>
          </w:p>
        </w:tc>
      </w:tr>
      <w:tr w14:paraId="637D8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0A1579A6">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7.1</w:t>
            </w:r>
          </w:p>
        </w:tc>
        <w:tc>
          <w:tcPr>
            <w:tcW w:w="2657" w:type="dxa"/>
            <w:noWrap w:val="0"/>
            <w:vAlign w:val="center"/>
          </w:tcPr>
          <w:p w14:paraId="407B6CE3">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评标结果公示媒介</w:t>
            </w:r>
          </w:p>
          <w:p w14:paraId="224D3777">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中标结果公告媒介</w:t>
            </w:r>
          </w:p>
        </w:tc>
        <w:tc>
          <w:tcPr>
            <w:tcW w:w="4536" w:type="dxa"/>
            <w:noWrap w:val="0"/>
            <w:vAlign w:val="top"/>
          </w:tcPr>
          <w:p w14:paraId="0413532F">
            <w:pPr>
              <w:widowControl/>
              <w:rPr>
                <w:rFonts w:ascii="Times New Roman" w:hAnsi="Times New Roman"/>
                <w:color w:val="0000FF"/>
                <w:highlight w:val="white"/>
              </w:rPr>
            </w:pPr>
            <w:bookmarkStart w:id="144" w:name="EBb47aed9e77164bdda022d8a4ac9c7e58"/>
            <w:r>
              <w:rPr>
                <w:rFonts w:ascii="Times New Roman" w:hAnsi="Times New Roman"/>
                <w:color w:val="0000FF"/>
                <w:highlight w:val="white"/>
              </w:rPr>
              <w:t>评标结果公示媒介：</w:t>
            </w:r>
          </w:p>
          <w:p w14:paraId="1EA740B9">
            <w:pPr>
              <w:widowControl/>
              <w:rPr>
                <w:rFonts w:hint="eastAsia" w:ascii="Times New Roman" w:hAnsi="Times New Roman"/>
                <w:color w:val="0000FF"/>
              </w:rPr>
            </w:pPr>
            <w:r>
              <w:rPr>
                <w:rFonts w:hint="eastAsia" w:ascii="Times New Roman" w:hAnsi="Times New Roman"/>
                <w:color w:val="0000FF"/>
              </w:rPr>
              <w:t xml:space="preserve">湖北省电子招投标交易平台  </w:t>
            </w:r>
          </w:p>
          <w:p w14:paraId="27EA4F76">
            <w:pPr>
              <w:widowControl/>
              <w:rPr>
                <w:rFonts w:hint="eastAsia" w:ascii="Times New Roman" w:hAnsi="Times New Roman"/>
                <w:color w:val="0000FF"/>
              </w:rPr>
            </w:pPr>
            <w:r>
              <w:rPr>
                <w:rFonts w:hint="eastAsia" w:ascii="Times New Roman" w:hAnsi="Times New Roman"/>
                <w:color w:val="0000FF"/>
              </w:rPr>
              <w:t>网址：www.hbbidcloud.cn</w:t>
            </w:r>
          </w:p>
          <w:p w14:paraId="7C3D223B">
            <w:pPr>
              <w:widowControl/>
              <w:rPr>
                <w:rFonts w:hint="eastAsia" w:ascii="Times New Roman" w:hAnsi="Times New Roman"/>
                <w:color w:val="0000FF"/>
              </w:rPr>
            </w:pPr>
            <w:r>
              <w:rPr>
                <w:rFonts w:hint="eastAsia" w:ascii="Times New Roman" w:hAnsi="Times New Roman"/>
                <w:color w:val="0000FF"/>
              </w:rPr>
              <w:t xml:space="preserve">湖北省公共资源交易电子服务系统  </w:t>
            </w:r>
          </w:p>
          <w:p w14:paraId="64E66206">
            <w:pPr>
              <w:widowControl/>
              <w:rPr>
                <w:rFonts w:hint="eastAsia" w:ascii="Times New Roman" w:hAnsi="Times New Roman"/>
                <w:color w:val="0000FF"/>
              </w:rPr>
            </w:pPr>
            <w:r>
              <w:rPr>
                <w:rFonts w:hint="eastAsia" w:ascii="Times New Roman" w:hAnsi="Times New Roman"/>
                <w:color w:val="0000FF"/>
              </w:rPr>
              <w:t>网址：www.hbggzyfwpt.cn</w:t>
            </w:r>
          </w:p>
          <w:p w14:paraId="00AF4E3D">
            <w:pPr>
              <w:widowControl/>
              <w:rPr>
                <w:rFonts w:hint="eastAsia" w:ascii="Times New Roman" w:hAnsi="Times New Roman"/>
                <w:color w:val="0000FF"/>
              </w:rPr>
            </w:pPr>
            <w:r>
              <w:rPr>
                <w:rFonts w:hint="eastAsia" w:ascii="Times New Roman" w:hAnsi="Times New Roman"/>
                <w:color w:val="0000FF"/>
              </w:rPr>
              <w:t xml:space="preserve">湖北省交通运输厅网站  </w:t>
            </w:r>
          </w:p>
          <w:p w14:paraId="3F96CEBB">
            <w:pPr>
              <w:rPr>
                <w:rFonts w:ascii="Times New Roman" w:hAnsi="Times New Roman"/>
                <w:szCs w:val="20"/>
              </w:rPr>
            </w:pPr>
            <w:r>
              <w:rPr>
                <w:rFonts w:hint="eastAsia" w:ascii="Times New Roman" w:hAnsi="Times New Roman"/>
                <w:color w:val="0000FF"/>
              </w:rPr>
              <w:t>网址：http://jtt.hubei.gov.cn</w:t>
            </w:r>
          </w:p>
          <w:p w14:paraId="351E69CB">
            <w:pPr>
              <w:rPr>
                <w:rFonts w:ascii="Times New Roman" w:hAnsi="Times New Roman"/>
                <w:szCs w:val="20"/>
                <w:highlight w:val="none"/>
              </w:rPr>
            </w:pPr>
            <w:r>
              <w:rPr>
                <w:rFonts w:ascii="Times New Roman" w:hAnsi="Times New Roman"/>
                <w:szCs w:val="20"/>
                <w:highlight w:val="none"/>
              </w:rPr>
              <w:t>湖北交投电子采购平台</w:t>
            </w:r>
          </w:p>
          <w:p w14:paraId="42033B7A">
            <w:pPr>
              <w:rPr>
                <w:rFonts w:hint="eastAsia" w:ascii="Times New Roman" w:hAnsi="Times New Roman" w:eastAsia="宋体"/>
                <w:szCs w:val="20"/>
                <w:highlight w:val="none"/>
                <w:lang w:val="en-US" w:eastAsia="zh-CN"/>
              </w:rPr>
            </w:pPr>
            <w:r>
              <w:rPr>
                <w:rFonts w:hint="eastAsia" w:ascii="Times New Roman" w:hAnsi="Times New Roman"/>
                <w:szCs w:val="20"/>
                <w:highlight w:val="none"/>
                <w:lang w:val="en-US" w:eastAsia="zh-CN"/>
              </w:rPr>
              <w:t>网址：</w:t>
            </w:r>
            <w:r>
              <w:rPr>
                <w:rFonts w:ascii="Times New Roman" w:hAnsi="Times New Roman"/>
                <w:szCs w:val="20"/>
                <w:highlight w:val="none"/>
              </w:rPr>
              <w:t>http://ec.hbjttz.com</w:t>
            </w:r>
          </w:p>
          <w:p w14:paraId="52DF1053">
            <w:pPr>
              <w:rPr>
                <w:rFonts w:ascii="Times New Roman" w:hAnsi="Times New Roman"/>
                <w:szCs w:val="20"/>
                <w:highlight w:val="none"/>
              </w:rPr>
            </w:pPr>
            <w:r>
              <w:rPr>
                <w:rFonts w:ascii="Times New Roman" w:hAnsi="Times New Roman"/>
                <w:szCs w:val="20"/>
                <w:highlight w:val="none"/>
              </w:rPr>
              <w:t>中标结果公告媒介：</w:t>
            </w:r>
          </w:p>
          <w:p w14:paraId="130659CF">
            <w:pPr>
              <w:rPr>
                <w:rFonts w:ascii="Times New Roman" w:hAnsi="Times New Roman"/>
                <w:color w:val="0000FF"/>
                <w:highlight w:val="none"/>
              </w:rPr>
            </w:pPr>
            <w:r>
              <w:rPr>
                <w:rFonts w:ascii="Times New Roman" w:hAnsi="Times New Roman"/>
                <w:color w:val="0000FF"/>
                <w:highlight w:val="none"/>
              </w:rPr>
              <w:t>湖北省电子招投标交易平台</w:t>
            </w:r>
          </w:p>
          <w:p w14:paraId="06406E4F">
            <w:pPr>
              <w:rPr>
                <w:rFonts w:ascii="Times New Roman" w:hAnsi="Times New Roman"/>
                <w:color w:val="0000FF"/>
                <w:highlight w:val="none"/>
              </w:rPr>
            </w:pPr>
            <w:r>
              <w:rPr>
                <w:rFonts w:ascii="Times New Roman" w:hAnsi="Times New Roman"/>
                <w:color w:val="0000FF"/>
                <w:highlight w:val="none"/>
              </w:rPr>
              <w:t>网址：www.hbbidcloud.cn</w:t>
            </w:r>
          </w:p>
          <w:p w14:paraId="360C34D5">
            <w:pPr>
              <w:rPr>
                <w:rFonts w:ascii="Times New Roman" w:hAnsi="Times New Roman"/>
                <w:color w:val="0000FF"/>
                <w:highlight w:val="none"/>
              </w:rPr>
            </w:pPr>
            <w:r>
              <w:rPr>
                <w:rFonts w:ascii="Times New Roman" w:hAnsi="Times New Roman"/>
                <w:color w:val="0000FF"/>
                <w:highlight w:val="none"/>
              </w:rPr>
              <w:t>湖北省公共资源交易电子服务系统</w:t>
            </w:r>
          </w:p>
          <w:p w14:paraId="67CDFB28">
            <w:pPr>
              <w:widowControl/>
              <w:rPr>
                <w:rFonts w:ascii="Times New Roman" w:hAnsi="Times New Roman"/>
                <w:color w:val="0000FF"/>
                <w:highlight w:val="none"/>
              </w:rPr>
            </w:pPr>
            <w:r>
              <w:rPr>
                <w:rFonts w:ascii="Times New Roman" w:hAnsi="Times New Roman"/>
                <w:color w:val="0000FF"/>
                <w:highlight w:val="none"/>
              </w:rPr>
              <w:t>网址：</w:t>
            </w:r>
            <w:r>
              <w:rPr>
                <w:rFonts w:ascii="Times New Roman" w:hAnsi="Times New Roman"/>
                <w:color w:val="0000FF"/>
                <w:highlight w:val="none"/>
              </w:rPr>
              <w:fldChar w:fldCharType="begin"/>
            </w:r>
            <w:r>
              <w:rPr>
                <w:rFonts w:ascii="Times New Roman" w:hAnsi="Times New Roman"/>
                <w:color w:val="0000FF"/>
                <w:highlight w:val="none"/>
              </w:rPr>
              <w:instrText xml:space="preserve"> HYPERLINK "http://www.hbggzyfwpt.cn" </w:instrText>
            </w:r>
            <w:r>
              <w:rPr>
                <w:rFonts w:ascii="Times New Roman" w:hAnsi="Times New Roman"/>
                <w:color w:val="0000FF"/>
                <w:highlight w:val="none"/>
              </w:rPr>
              <w:fldChar w:fldCharType="separate"/>
            </w:r>
            <w:r>
              <w:rPr>
                <w:rStyle w:val="27"/>
                <w:rFonts w:ascii="Times New Roman" w:hAnsi="Times New Roman"/>
                <w:color w:val="0000FF"/>
                <w:highlight w:val="none"/>
              </w:rPr>
              <w:t>www.hbggzyfwpt.cn</w:t>
            </w:r>
            <w:r>
              <w:rPr>
                <w:rFonts w:ascii="Times New Roman" w:hAnsi="Times New Roman"/>
                <w:color w:val="0000FF"/>
                <w:highlight w:val="none"/>
              </w:rPr>
              <w:fldChar w:fldCharType="end"/>
            </w:r>
          </w:p>
          <w:p w14:paraId="6B276DE0">
            <w:pPr>
              <w:rPr>
                <w:rFonts w:ascii="Times New Roman" w:hAnsi="Times New Roman"/>
                <w:szCs w:val="20"/>
                <w:highlight w:val="none"/>
              </w:rPr>
            </w:pPr>
            <w:r>
              <w:rPr>
                <w:rFonts w:ascii="Times New Roman" w:hAnsi="Times New Roman"/>
                <w:szCs w:val="20"/>
                <w:highlight w:val="none"/>
              </w:rPr>
              <w:t>湖北交投电子采购平台</w:t>
            </w:r>
          </w:p>
          <w:p w14:paraId="61897B37">
            <w:pPr>
              <w:spacing w:line="276" w:lineRule="auto"/>
              <w:rPr>
                <w:rFonts w:ascii="Times New Roman" w:hAnsi="Times New Roman"/>
                <w:highlight w:val="green"/>
              </w:rPr>
            </w:pPr>
            <w:r>
              <w:rPr>
                <w:rFonts w:hint="eastAsia" w:ascii="Times New Roman" w:hAnsi="Times New Roman"/>
                <w:szCs w:val="20"/>
                <w:highlight w:val="none"/>
                <w:lang w:val="en-US" w:eastAsia="zh-CN"/>
              </w:rPr>
              <w:t>网址：</w:t>
            </w:r>
            <w:r>
              <w:rPr>
                <w:rFonts w:ascii="Times New Roman" w:hAnsi="Times New Roman"/>
                <w:szCs w:val="20"/>
                <w:highlight w:val="none"/>
              </w:rPr>
              <w:t>http://ec.hbjttz.com</w:t>
            </w:r>
            <w:bookmarkEnd w:id="144"/>
          </w:p>
        </w:tc>
      </w:tr>
      <w:tr w14:paraId="377AA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B042A96">
            <w:pPr>
              <w:widowControl w:val="0"/>
              <w:spacing w:line="276" w:lineRule="auto"/>
              <w:ind w:firstLine="210" w:firstLineChars="1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7.4</w:t>
            </w:r>
          </w:p>
        </w:tc>
        <w:tc>
          <w:tcPr>
            <w:tcW w:w="2657" w:type="dxa"/>
            <w:noWrap w:val="0"/>
            <w:vAlign w:val="center"/>
          </w:tcPr>
          <w:p w14:paraId="12D8124B">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是否授权评标委员会</w:t>
            </w:r>
          </w:p>
          <w:p w14:paraId="4B906474">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确定中标人</w:t>
            </w:r>
          </w:p>
        </w:tc>
        <w:tc>
          <w:tcPr>
            <w:tcW w:w="4536" w:type="dxa"/>
            <w:noWrap w:val="0"/>
            <w:vAlign w:val="top"/>
          </w:tcPr>
          <w:p w14:paraId="384DC3A9">
            <w:pPr>
              <w:spacing w:line="276" w:lineRule="auto"/>
              <w:rPr>
                <w:rFonts w:ascii="Times New Roman" w:hAnsi="Times New Roman"/>
              </w:rPr>
            </w:pPr>
            <w:bookmarkStart w:id="145" w:name="EB4f67c12da78d4a9fa592a5f28fa2f93a"/>
            <w:r>
              <w:rPr>
                <w:rFonts w:ascii="Segoe UI Symbol" w:hAnsi="Segoe UI Symbol" w:cs="Segoe UI Symbol"/>
                <w:color w:val="0000FF"/>
                <w:highlight w:val="white"/>
              </w:rPr>
              <w:t>☑</w:t>
            </w:r>
            <w:bookmarkEnd w:id="145"/>
            <w:r>
              <w:rPr>
                <w:rFonts w:ascii="Times New Roman" w:hAnsi="Times New Roman"/>
                <w:highlight w:val="white"/>
              </w:rPr>
              <w:t>否</w:t>
            </w:r>
          </w:p>
          <w:p w14:paraId="13F0A96A">
            <w:pPr>
              <w:spacing w:line="276" w:lineRule="auto"/>
              <w:rPr>
                <w:rFonts w:ascii="Times New Roman" w:hAnsi="Times New Roman"/>
              </w:rPr>
            </w:pPr>
            <w:bookmarkStart w:id="146" w:name="EB70137d0dd1444500a2a2e3aec6a5ad7c"/>
            <w:r>
              <w:rPr>
                <w:rFonts w:ascii="Times New Roman" w:hAnsi="Times New Roman"/>
                <w:color w:val="0000FF"/>
                <w:highlight w:val="white"/>
              </w:rPr>
              <w:t>□</w:t>
            </w:r>
            <w:bookmarkEnd w:id="146"/>
            <w:r>
              <w:rPr>
                <w:rFonts w:ascii="Times New Roman" w:hAnsi="Times New Roman"/>
                <w:highlight w:val="white"/>
              </w:rPr>
              <w:t>是</w:t>
            </w:r>
          </w:p>
        </w:tc>
      </w:tr>
      <w:tr w14:paraId="4256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380ADACB">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7.6.1</w:t>
            </w:r>
          </w:p>
        </w:tc>
        <w:tc>
          <w:tcPr>
            <w:tcW w:w="2657" w:type="dxa"/>
            <w:noWrap w:val="0"/>
            <w:vAlign w:val="center"/>
          </w:tcPr>
          <w:p w14:paraId="01E64670">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履约保证金</w:t>
            </w:r>
          </w:p>
        </w:tc>
        <w:tc>
          <w:tcPr>
            <w:tcW w:w="4536" w:type="dxa"/>
            <w:noWrap w:val="0"/>
            <w:vAlign w:val="top"/>
          </w:tcPr>
          <w:p w14:paraId="3C6414F2">
            <w:pPr>
              <w:spacing w:line="276" w:lineRule="auto"/>
              <w:rPr>
                <w:rFonts w:ascii="Times New Roman" w:hAnsi="Times New Roman"/>
              </w:rPr>
            </w:pPr>
            <w:bookmarkStart w:id="147" w:name="EB6bbb6fe26f154753aa022271f2f40f28"/>
            <w:r>
              <w:rPr>
                <w:rFonts w:ascii="Times New Roman" w:hAnsi="Times New Roman"/>
                <w:color w:val="0000FF"/>
                <w:highlight w:val="white"/>
              </w:rPr>
              <w:t>□</w:t>
            </w:r>
            <w:bookmarkEnd w:id="147"/>
            <w:r>
              <w:rPr>
                <w:rFonts w:ascii="Times New Roman" w:hAnsi="Times New Roman"/>
                <w:highlight w:val="white"/>
              </w:rPr>
              <w:t>不要求</w:t>
            </w:r>
          </w:p>
          <w:p w14:paraId="0F8ADB83">
            <w:pPr>
              <w:spacing w:line="276" w:lineRule="auto"/>
              <w:rPr>
                <w:rFonts w:hint="eastAsia" w:ascii="Times New Roman" w:hAnsi="Times New Roman"/>
                <w:highlight w:val="white"/>
                <w:lang w:val="en-US" w:eastAsia="zh-CN"/>
              </w:rPr>
            </w:pPr>
            <w:bookmarkStart w:id="148" w:name="EB41c56e5751bc4637a48d66ff9203b3fd"/>
            <w:r>
              <w:rPr>
                <w:rFonts w:ascii="Segoe UI Symbol" w:hAnsi="Segoe UI Symbol" w:cs="Segoe UI Symbol"/>
                <w:color w:val="0000FF"/>
                <w:highlight w:val="white"/>
              </w:rPr>
              <w:t>☑</w:t>
            </w:r>
            <w:bookmarkEnd w:id="148"/>
            <w:r>
              <w:rPr>
                <w:rFonts w:ascii="Times New Roman" w:hAnsi="Times New Roman"/>
                <w:highlight w:val="white"/>
              </w:rPr>
              <w:t>要求，履约保证金的形式：</w:t>
            </w:r>
            <w:bookmarkStart w:id="149" w:name="EBb7233248d4cd43ceb727822564e0d6c4"/>
            <w:r>
              <w:rPr>
                <w:rFonts w:hint="eastAsia" w:ascii="Times New Roman" w:hAnsi="Times New Roman"/>
                <w:highlight w:val="white"/>
              </w:rPr>
              <w:t>银行保函或非融资性担保公司保函或现金、支票形式</w:t>
            </w:r>
            <w:r>
              <w:rPr>
                <w:rFonts w:ascii="Times New Roman" w:hAnsi="Times New Roman"/>
                <w:color w:val="0000FF"/>
                <w:highlight w:val="white"/>
              </w:rPr>
              <w:t>。采用银行保函时，出具保函的银行级别：国有商业银行或股份制银行支行及以上，并得到上级行的授权。投标人未按合同约定履行其义务的，招标人将取得上述履约担保。如投标人未能提供履约担保，其中标资格将被取消。履约担保的提交时间：投标人收到中标通知书后30天之内，并在签订合同协议书之前。</w:t>
            </w:r>
            <w:bookmarkEnd w:id="149"/>
            <w:r>
              <w:rPr>
                <w:rFonts w:ascii="Times New Roman" w:hAnsi="Times New Roman"/>
                <w:highlight w:val="white"/>
              </w:rPr>
              <w:t>履约保证金的金额：</w:t>
            </w:r>
            <w:r>
              <w:rPr>
                <w:rFonts w:hint="eastAsia" w:ascii="Times New Roman" w:hAnsi="Times New Roman"/>
                <w:highlight w:val="white"/>
              </w:rPr>
              <w:t>5%</w:t>
            </w:r>
            <w:r>
              <w:rPr>
                <w:rFonts w:hint="eastAsia" w:ascii="Times New Roman" w:hAnsi="Times New Roman"/>
                <w:highlight w:val="white"/>
                <w:lang w:val="en-US" w:eastAsia="zh-CN"/>
              </w:rPr>
              <w:t>的</w:t>
            </w:r>
            <w:r>
              <w:rPr>
                <w:rFonts w:hint="eastAsia" w:ascii="Times New Roman" w:hAnsi="Times New Roman"/>
                <w:highlight w:val="white"/>
              </w:rPr>
              <w:t>签约合同价</w:t>
            </w:r>
            <w:r>
              <w:rPr>
                <w:rFonts w:hint="eastAsia" w:ascii="Times New Roman" w:hAnsi="Times New Roman"/>
                <w:highlight w:val="white"/>
                <w:lang w:val="en-US" w:eastAsia="zh-CN"/>
              </w:rPr>
              <w:t>.</w:t>
            </w:r>
          </w:p>
          <w:p w14:paraId="64A1CE92">
            <w:pPr>
              <w:spacing w:line="276" w:lineRule="auto"/>
              <w:rPr>
                <w:rFonts w:hint="eastAsia" w:ascii="Times New Roman" w:hAnsi="Times New Roman"/>
                <w:highlight w:val="white"/>
              </w:rPr>
            </w:pPr>
            <w:r>
              <w:rPr>
                <w:rFonts w:hint="eastAsia" w:ascii="Times New Roman" w:hAnsi="Times New Roman"/>
                <w:highlight w:val="white"/>
              </w:rPr>
              <w:t>其他：采用银行保函时，出具保函的银行级别：</w:t>
            </w:r>
          </w:p>
          <w:p w14:paraId="225E9DD1">
            <w:pPr>
              <w:spacing w:line="276" w:lineRule="auto"/>
              <w:rPr>
                <w:rFonts w:hint="eastAsia" w:ascii="Times New Roman" w:hAnsi="Times New Roman"/>
                <w:highlight w:val="white"/>
                <w:lang w:val="en-US" w:eastAsia="zh-CN"/>
              </w:rPr>
            </w:pPr>
            <w:r>
              <w:rPr>
                <w:rFonts w:hint="eastAsia" w:ascii="Times New Roman" w:hAnsi="Times New Roman"/>
                <w:highlight w:val="white"/>
              </w:rPr>
              <w:t>国有商业银行或股份制银行支行及以上。</w:t>
            </w:r>
          </w:p>
        </w:tc>
      </w:tr>
      <w:tr w14:paraId="141F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76CC39E2">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8.5.3</w:t>
            </w:r>
          </w:p>
        </w:tc>
        <w:tc>
          <w:tcPr>
            <w:tcW w:w="2657" w:type="dxa"/>
            <w:noWrap w:val="0"/>
            <w:vAlign w:val="center"/>
          </w:tcPr>
          <w:p w14:paraId="408A2154">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监督部门</w:t>
            </w:r>
          </w:p>
        </w:tc>
        <w:tc>
          <w:tcPr>
            <w:tcW w:w="4536" w:type="dxa"/>
            <w:noWrap w:val="0"/>
            <w:vAlign w:val="top"/>
          </w:tcPr>
          <w:p w14:paraId="4AF90294">
            <w:pPr>
              <w:spacing w:line="276" w:lineRule="auto"/>
              <w:rPr>
                <w:rFonts w:ascii="Times New Roman" w:hAnsi="Times New Roman"/>
              </w:rPr>
            </w:pPr>
            <w:r>
              <w:rPr>
                <w:rFonts w:ascii="Times New Roman" w:hAnsi="Times New Roman"/>
                <w:highlight w:val="white"/>
              </w:rPr>
              <w:t>行政监督部门：</w:t>
            </w:r>
            <w:bookmarkStart w:id="150" w:name="EB9916b0a2331044cd844b03894ef055e7"/>
            <w:r>
              <w:rPr>
                <w:rFonts w:ascii="Times New Roman" w:hAnsi="Times New Roman"/>
                <w:color w:val="0000FF"/>
                <w:highlight w:val="white"/>
              </w:rPr>
              <w:t>湖北省交通运输厅</w:t>
            </w:r>
            <w:bookmarkEnd w:id="150"/>
          </w:p>
          <w:p w14:paraId="2736AF87">
            <w:pPr>
              <w:spacing w:line="276" w:lineRule="auto"/>
              <w:rPr>
                <w:rFonts w:ascii="Times New Roman" w:hAnsi="Times New Roman"/>
              </w:rPr>
            </w:pPr>
            <w:r>
              <w:rPr>
                <w:rFonts w:ascii="Times New Roman" w:hAnsi="Times New Roman"/>
                <w:highlight w:val="white"/>
              </w:rPr>
              <w:t>地    址：</w:t>
            </w:r>
            <w:bookmarkStart w:id="151" w:name="EBddf323dc1b2e429d9ad5f39e68bfc210"/>
            <w:r>
              <w:rPr>
                <w:rFonts w:ascii="Times New Roman" w:hAnsi="Times New Roman"/>
                <w:color w:val="0000FF"/>
                <w:highlight w:val="white"/>
              </w:rPr>
              <w:t>武汉市汉口建设大道428号</w:t>
            </w:r>
            <w:bookmarkEnd w:id="151"/>
          </w:p>
          <w:p w14:paraId="0EEC5E8D">
            <w:pPr>
              <w:spacing w:line="276" w:lineRule="auto"/>
              <w:rPr>
                <w:rFonts w:ascii="Times New Roman" w:hAnsi="Times New Roman"/>
              </w:rPr>
            </w:pPr>
            <w:r>
              <w:rPr>
                <w:rFonts w:ascii="Times New Roman" w:hAnsi="Times New Roman"/>
                <w:highlight w:val="white"/>
              </w:rPr>
              <w:t>电    话：</w:t>
            </w:r>
            <w:bookmarkStart w:id="152" w:name="EB2c8711d00a184b939c71834c65dd5fb9"/>
            <w:r>
              <w:rPr>
                <w:rFonts w:ascii="Times New Roman" w:hAnsi="Times New Roman"/>
                <w:color w:val="0000FF"/>
                <w:highlight w:val="white"/>
              </w:rPr>
              <w:t>厅建设市场处电话：027-</w:t>
            </w:r>
            <w:r>
              <w:rPr>
                <w:rFonts w:hint="eastAsia" w:ascii="Times New Roman" w:hAnsi="Times New Roman"/>
                <w:color w:val="0000FF"/>
                <w:highlight w:val="white"/>
                <w:lang w:eastAsia="zh-CN"/>
              </w:rPr>
              <w:t>83460346</w:t>
            </w:r>
            <w:bookmarkEnd w:id="152"/>
          </w:p>
          <w:p w14:paraId="770DC276">
            <w:pPr>
              <w:spacing w:line="276" w:lineRule="auto"/>
              <w:rPr>
                <w:rFonts w:ascii="Times New Roman" w:hAnsi="Times New Roman"/>
              </w:rPr>
            </w:pPr>
            <w:r>
              <w:rPr>
                <w:rFonts w:ascii="Times New Roman" w:hAnsi="Times New Roman"/>
                <w:highlight w:val="white"/>
              </w:rPr>
              <w:t>传    真：</w:t>
            </w:r>
            <w:bookmarkStart w:id="153" w:name="EB004abbd27a134f6d81949882ced353d1"/>
            <w:r>
              <w:rPr>
                <w:rFonts w:ascii="Times New Roman" w:hAnsi="Times New Roman"/>
                <w:color w:val="0000FF"/>
                <w:highlight w:val="white"/>
              </w:rPr>
              <w:t>/</w:t>
            </w:r>
            <w:bookmarkEnd w:id="153"/>
          </w:p>
          <w:p w14:paraId="7CDA3561">
            <w:pPr>
              <w:spacing w:line="276" w:lineRule="auto"/>
              <w:rPr>
                <w:rFonts w:ascii="Times New Roman" w:hAnsi="Times New Roman"/>
              </w:rPr>
            </w:pPr>
            <w:r>
              <w:rPr>
                <w:rFonts w:ascii="Times New Roman" w:hAnsi="Times New Roman"/>
                <w:highlight w:val="white"/>
              </w:rPr>
              <w:t>邮政编码：</w:t>
            </w:r>
            <w:bookmarkStart w:id="154" w:name="EBfb468e8b52ce4520bb3530d5729d1075"/>
            <w:r>
              <w:rPr>
                <w:rFonts w:ascii="Times New Roman" w:hAnsi="Times New Roman"/>
                <w:color w:val="0000FF"/>
                <w:highlight w:val="white"/>
              </w:rPr>
              <w:t>430030</w:t>
            </w:r>
            <w:bookmarkEnd w:id="154"/>
          </w:p>
          <w:p w14:paraId="14E909F8">
            <w:pPr>
              <w:spacing w:line="276" w:lineRule="auto"/>
              <w:rPr>
                <w:rFonts w:ascii="Times New Roman" w:hAnsi="Times New Roman"/>
              </w:rPr>
            </w:pPr>
          </w:p>
        </w:tc>
      </w:tr>
      <w:tr w14:paraId="55DA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1F0AF1D">
            <w:pPr>
              <w:widowControl w:val="0"/>
              <w:spacing w:line="276" w:lineRule="auto"/>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9.2</w:t>
            </w:r>
          </w:p>
        </w:tc>
        <w:tc>
          <w:tcPr>
            <w:tcW w:w="2657" w:type="dxa"/>
            <w:noWrap w:val="0"/>
            <w:vAlign w:val="center"/>
          </w:tcPr>
          <w:p w14:paraId="02A73C61">
            <w:pPr>
              <w:widowControl w:val="0"/>
              <w:spacing w:line="276" w:lineRule="auto"/>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多标段投标</w:t>
            </w:r>
          </w:p>
        </w:tc>
        <w:tc>
          <w:tcPr>
            <w:tcW w:w="4536" w:type="dxa"/>
            <w:noWrap w:val="0"/>
            <w:vAlign w:val="top"/>
          </w:tcPr>
          <w:p w14:paraId="3CB37929">
            <w:pPr>
              <w:spacing w:line="276" w:lineRule="auto"/>
              <w:rPr>
                <w:rFonts w:ascii="Times New Roman" w:hAnsi="Times New Roman"/>
                <w:highlight w:val="none"/>
              </w:rPr>
            </w:pPr>
            <w:r>
              <w:rPr>
                <w:rFonts w:ascii="Times New Roman" w:hAnsi="Times New Roman"/>
                <w:highlight w:val="none"/>
              </w:rPr>
              <w:t>投标人可同时对本次招标标段中的</w:t>
            </w:r>
            <w:r>
              <w:rPr>
                <w:rFonts w:hint="eastAsia" w:ascii="Times New Roman" w:hAnsi="Times New Roman"/>
                <w:color w:val="0000FF"/>
                <w:highlight w:val="none"/>
                <w:lang w:val="en-US" w:eastAsia="zh-CN"/>
              </w:rPr>
              <w:t>1</w:t>
            </w:r>
            <w:r>
              <w:rPr>
                <w:rFonts w:ascii="Times New Roman" w:hAnsi="Times New Roman"/>
                <w:highlight w:val="none"/>
              </w:rPr>
              <w:t>个标段投标。每个投标人最多只允许中标</w:t>
            </w:r>
            <w:bookmarkStart w:id="155" w:name="EBae270d9b4f5e47b990c2e1b0a2dfe8a4"/>
            <w:r>
              <w:rPr>
                <w:rFonts w:ascii="Times New Roman" w:hAnsi="Times New Roman"/>
                <w:color w:val="0000FF"/>
                <w:highlight w:val="none"/>
              </w:rPr>
              <w:t>1</w:t>
            </w:r>
            <w:bookmarkEnd w:id="155"/>
            <w:r>
              <w:rPr>
                <w:rFonts w:ascii="Times New Roman" w:hAnsi="Times New Roman"/>
                <w:highlight w:val="none"/>
              </w:rPr>
              <w:t>个标段。如果同一投标人在多个标段中均排序第一，</w:t>
            </w:r>
          </w:p>
          <w:p w14:paraId="18C42777">
            <w:pPr>
              <w:spacing w:line="276" w:lineRule="auto"/>
              <w:rPr>
                <w:rFonts w:ascii="Times New Roman" w:hAnsi="Times New Roman"/>
                <w:highlight w:val="none"/>
              </w:rPr>
            </w:pPr>
            <w:bookmarkStart w:id="156" w:name="EBf77825103aa64288b2da22071ee50141"/>
            <w:r>
              <w:rPr>
                <w:rFonts w:hint="eastAsia" w:ascii="Calibri" w:hAnsi="Calibri"/>
                <w:color w:val="0000FF"/>
                <w:kern w:val="2"/>
                <w:sz w:val="21"/>
                <w:szCs w:val="22"/>
                <w:highlight w:val="none"/>
                <w:lang w:val="en-US" w:eastAsia="zh-CN" w:bidi="ar-SA"/>
              </w:rPr>
              <w:t>/</w:t>
            </w:r>
            <w:r>
              <w:rPr>
                <w:rFonts w:hint="eastAsia" w:ascii="Calibri" w:hAnsi="Calibri"/>
                <w:kern w:val="2"/>
                <w:sz w:val="21"/>
                <w:szCs w:val="22"/>
                <w:highlight w:val="none"/>
                <w:lang w:val="en-US" w:eastAsia="zh-CN" w:bidi="ar-SA"/>
              </w:rPr>
              <w:t xml:space="preserve"> </w:t>
            </w:r>
            <w:bookmarkEnd w:id="156"/>
            <w:r>
              <w:rPr>
                <w:rFonts w:ascii="Times New Roman" w:hAnsi="Times New Roman"/>
                <w:highlight w:val="none"/>
              </w:rPr>
              <w:t xml:space="preserve"> (推荐中标候选人或选择中标人的方法)。</w:t>
            </w:r>
          </w:p>
        </w:tc>
      </w:tr>
      <w:tr w14:paraId="7FFDC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20DD4DD4">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9.3.1</w:t>
            </w:r>
          </w:p>
        </w:tc>
        <w:tc>
          <w:tcPr>
            <w:tcW w:w="2657" w:type="dxa"/>
            <w:noWrap w:val="0"/>
            <w:vAlign w:val="center"/>
          </w:tcPr>
          <w:p w14:paraId="41DD7F5C">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2"/>
                <w:highlight w:val="white"/>
                <w:lang w:val="en-US" w:eastAsia="zh-CN" w:bidi="ar-SA"/>
              </w:rPr>
              <w:t>小微企业报价优惠(扣除)系数</w:t>
            </w:r>
          </w:p>
        </w:tc>
        <w:tc>
          <w:tcPr>
            <w:tcW w:w="4536" w:type="dxa"/>
            <w:noWrap w:val="0"/>
            <w:vAlign w:val="top"/>
          </w:tcPr>
          <w:p w14:paraId="0AC1501C">
            <w:pPr>
              <w:spacing w:line="276" w:lineRule="auto"/>
              <w:rPr>
                <w:rFonts w:ascii="Times New Roman" w:hAnsi="Times New Roman"/>
              </w:rPr>
            </w:pPr>
            <w:r>
              <w:rPr>
                <w:rFonts w:ascii="Times New Roman" w:hAnsi="Times New Roman"/>
                <w:szCs w:val="21"/>
                <w:highlight w:val="white"/>
              </w:rPr>
              <w:t>P的取值：</w:t>
            </w:r>
            <w:bookmarkStart w:id="157" w:name="EB8f76435049e14b4a81913abaf701a22d"/>
            <w:r>
              <w:rPr>
                <w:rFonts w:ascii="Times New Roman" w:hAnsi="Times New Roman"/>
                <w:color w:val="0000FF"/>
                <w:szCs w:val="21"/>
                <w:highlight w:val="white"/>
              </w:rPr>
              <w:t>/</w:t>
            </w:r>
            <w:bookmarkEnd w:id="157"/>
          </w:p>
        </w:tc>
      </w:tr>
      <w:tr w14:paraId="4463F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DC0F106">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9.3.2</w:t>
            </w:r>
          </w:p>
        </w:tc>
        <w:tc>
          <w:tcPr>
            <w:tcW w:w="2657" w:type="dxa"/>
            <w:noWrap w:val="0"/>
            <w:vAlign w:val="center"/>
          </w:tcPr>
          <w:p w14:paraId="2A149BA7">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2"/>
                <w:highlight w:val="white"/>
                <w:lang w:val="en-US" w:eastAsia="zh-CN" w:bidi="ar-SA"/>
              </w:rPr>
              <w:t>满足条件的联合体或者分包企业报价优惠(扣除)系数</w:t>
            </w:r>
          </w:p>
        </w:tc>
        <w:tc>
          <w:tcPr>
            <w:tcW w:w="4536" w:type="dxa"/>
            <w:noWrap w:val="0"/>
            <w:vAlign w:val="top"/>
          </w:tcPr>
          <w:p w14:paraId="3A68BF8E">
            <w:pPr>
              <w:spacing w:line="276" w:lineRule="auto"/>
              <w:rPr>
                <w:rFonts w:ascii="Times New Roman" w:hAnsi="Times New Roman"/>
              </w:rPr>
            </w:pPr>
            <w:r>
              <w:rPr>
                <w:rFonts w:ascii="Times New Roman" w:hAnsi="Times New Roman"/>
                <w:szCs w:val="21"/>
                <w:highlight w:val="white"/>
              </w:rPr>
              <w:t>Q的取值：</w:t>
            </w:r>
            <w:bookmarkStart w:id="158" w:name="EBe5fd95bc6c654e1dba9181d6a5d16ed3"/>
            <w:r>
              <w:rPr>
                <w:rFonts w:ascii="Times New Roman" w:hAnsi="Times New Roman"/>
                <w:color w:val="0000FF"/>
                <w:szCs w:val="21"/>
                <w:highlight w:val="white"/>
              </w:rPr>
              <w:t>/</w:t>
            </w:r>
            <w:bookmarkEnd w:id="158"/>
          </w:p>
        </w:tc>
      </w:tr>
      <w:tr w14:paraId="2D8D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11416BAD">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9.</w:t>
            </w:r>
            <w:r>
              <w:rPr>
                <w:rFonts w:hint="eastAsia" w:ascii="Times New Roman" w:hAnsi="Times New Roman" w:cs="Times New Roman"/>
                <w:kern w:val="2"/>
                <w:sz w:val="21"/>
                <w:szCs w:val="21"/>
                <w:highlight w:val="white"/>
                <w:lang w:val="en-US" w:eastAsia="zh-CN" w:bidi="ar-SA"/>
              </w:rPr>
              <w:t>4</w:t>
            </w:r>
          </w:p>
        </w:tc>
        <w:tc>
          <w:tcPr>
            <w:tcW w:w="2657" w:type="dxa"/>
            <w:noWrap w:val="0"/>
            <w:vAlign w:val="center"/>
          </w:tcPr>
          <w:p w14:paraId="6474DAFE">
            <w:pPr>
              <w:widowControl w:val="0"/>
              <w:spacing w:line="276" w:lineRule="auto"/>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招标代理服务费</w:t>
            </w:r>
          </w:p>
        </w:tc>
        <w:tc>
          <w:tcPr>
            <w:tcW w:w="4536" w:type="dxa"/>
            <w:noWrap w:val="0"/>
            <w:vAlign w:val="top"/>
          </w:tcPr>
          <w:p w14:paraId="1028067B">
            <w:pPr>
              <w:spacing w:line="276" w:lineRule="auto"/>
              <w:rPr>
                <w:rFonts w:ascii="Times New Roman" w:hAnsi="Times New Roman"/>
                <w:highlight w:val="none"/>
              </w:rPr>
            </w:pPr>
            <w:bookmarkStart w:id="159" w:name="EB7f52d41203304bd9804a2d5883f423bf"/>
            <w:r>
              <w:rPr>
                <w:rFonts w:ascii="Times New Roman" w:hAnsi="Times New Roman"/>
                <w:color w:val="0000FF"/>
                <w:highlight w:val="none"/>
              </w:rPr>
              <w:t>□</w:t>
            </w:r>
            <w:bookmarkEnd w:id="159"/>
            <w:r>
              <w:rPr>
                <w:rFonts w:ascii="Times New Roman" w:hAnsi="Times New Roman"/>
                <w:highlight w:val="none"/>
              </w:rPr>
              <w:t>本次招标没有招标代理服务费。</w:t>
            </w:r>
          </w:p>
          <w:p w14:paraId="5744CCA5">
            <w:pPr>
              <w:spacing w:line="276" w:lineRule="auto"/>
              <w:rPr>
                <w:rFonts w:ascii="Times New Roman" w:hAnsi="Times New Roman"/>
                <w:highlight w:val="none"/>
              </w:rPr>
            </w:pPr>
            <w:bookmarkStart w:id="160" w:name="EBa8fd46d240404792a9f94af1000dbfaa"/>
            <w:r>
              <w:rPr>
                <w:rFonts w:ascii="Segoe UI Symbol" w:hAnsi="Segoe UI Symbol" w:cs="Segoe UI Symbol"/>
                <w:color w:val="0000FF"/>
                <w:highlight w:val="none"/>
              </w:rPr>
              <w:t>☑</w:t>
            </w:r>
            <w:bookmarkEnd w:id="160"/>
            <w:r>
              <w:rPr>
                <w:rFonts w:ascii="Times New Roman" w:hAnsi="Times New Roman"/>
                <w:highlight w:val="none"/>
              </w:rPr>
              <w:t>本次招标有招标代理服务费。根据招标人和招标代理机构委托代理合同的约定，本项目招标代理服务费：</w:t>
            </w:r>
          </w:p>
          <w:p w14:paraId="6A17287D">
            <w:pPr>
              <w:spacing w:line="276" w:lineRule="auto"/>
              <w:rPr>
                <w:rFonts w:ascii="Times New Roman" w:hAnsi="Times New Roman"/>
                <w:highlight w:val="none"/>
              </w:rPr>
            </w:pPr>
            <w:bookmarkStart w:id="161" w:name="EBb9a5b903dac141f88dffe9dfeab85ef5"/>
            <w:r>
              <w:rPr>
                <w:rFonts w:ascii="Times New Roman" w:hAnsi="Times New Roman"/>
                <w:color w:val="0000FF"/>
                <w:highlight w:val="none"/>
              </w:rPr>
              <w:t>□</w:t>
            </w:r>
            <w:bookmarkEnd w:id="161"/>
            <w:r>
              <w:rPr>
                <w:rFonts w:ascii="Times New Roman" w:hAnsi="Times New Roman"/>
                <w:highlight w:val="none"/>
              </w:rPr>
              <w:t>由招标人支付。</w:t>
            </w:r>
          </w:p>
          <w:p w14:paraId="02AF1CEF">
            <w:pPr>
              <w:spacing w:line="276" w:lineRule="auto"/>
              <w:rPr>
                <w:rFonts w:ascii="Times New Roman" w:hAnsi="Times New Roman"/>
                <w:highlight w:val="none"/>
              </w:rPr>
            </w:pPr>
            <w:bookmarkStart w:id="162" w:name="EB4e4ea6758a1f416a9bae117f4e2e0629"/>
            <w:r>
              <w:rPr>
                <w:rFonts w:ascii="Segoe UI Symbol" w:hAnsi="Segoe UI Symbol" w:cs="Segoe UI Symbol"/>
                <w:color w:val="0000FF"/>
                <w:highlight w:val="none"/>
              </w:rPr>
              <w:t>☑</w:t>
            </w:r>
            <w:bookmarkEnd w:id="162"/>
            <w:r>
              <w:rPr>
                <w:rFonts w:ascii="Times New Roman" w:hAnsi="Times New Roman"/>
                <w:highlight w:val="none"/>
              </w:rPr>
              <w:t>由中标人支付。</w:t>
            </w:r>
          </w:p>
          <w:p w14:paraId="3944B926">
            <w:pPr>
              <w:spacing w:line="276" w:lineRule="auto"/>
              <w:rPr>
                <w:rFonts w:ascii="Times New Roman" w:hAnsi="Times New Roman"/>
                <w:highlight w:val="none"/>
              </w:rPr>
            </w:pPr>
            <w:r>
              <w:rPr>
                <w:rFonts w:ascii="Times New Roman" w:hAnsi="Times New Roman"/>
                <w:highlight w:val="none"/>
              </w:rPr>
              <w:t>支付标准：</w:t>
            </w:r>
            <w:bookmarkStart w:id="163" w:name="EB2fef94a1fb764f67a4a1aa2b309847e4"/>
            <w:r>
              <w:rPr>
                <w:rFonts w:hint="eastAsia" w:ascii="Times New Roman" w:hAnsi="Times New Roman"/>
                <w:color w:val="auto"/>
                <w:kern w:val="0"/>
                <w:szCs w:val="21"/>
                <w:highlight w:val="none"/>
              </w:rPr>
              <w:t>各标段的中标价格乘以8</w:t>
            </w:r>
            <w:r>
              <w:rPr>
                <w:rFonts w:hint="eastAsia" w:ascii="Times New Roman" w:hAnsi="Times New Roman"/>
                <w:color w:val="auto"/>
                <w:kern w:val="0"/>
                <w:szCs w:val="21"/>
                <w:highlight w:val="none"/>
                <w:lang w:val="en-US" w:eastAsia="zh-CN"/>
              </w:rPr>
              <w:t>6</w:t>
            </w:r>
            <w:r>
              <w:rPr>
                <w:rFonts w:hint="eastAsia" w:ascii="Times New Roman" w:hAnsi="Times New Roman"/>
                <w:color w:val="auto"/>
                <w:kern w:val="0"/>
                <w:szCs w:val="21"/>
                <w:highlight w:val="none"/>
              </w:rPr>
              <w:t>%为基数，按下表（招标代理服务收费标准）所列费率，各标段分别采用差额定率累进计费方式计算的金额作为招标代理服务费，如相应标段中标人的单项招标代理服务费按上述标准计算后不足</w:t>
            </w:r>
            <w:r>
              <w:rPr>
                <w:rFonts w:hint="eastAsia" w:ascii="Times New Roman" w:hAnsi="Times New Roman"/>
                <w:color w:val="auto"/>
                <w:kern w:val="0"/>
                <w:szCs w:val="21"/>
                <w:highlight w:val="none"/>
                <w:lang w:val="en-US" w:eastAsia="zh-CN"/>
              </w:rPr>
              <w:t>5</w:t>
            </w:r>
            <w:r>
              <w:rPr>
                <w:rFonts w:hint="eastAsia" w:ascii="Times New Roman" w:hAnsi="Times New Roman"/>
                <w:color w:val="auto"/>
                <w:kern w:val="0"/>
                <w:szCs w:val="21"/>
                <w:highlight w:val="none"/>
              </w:rPr>
              <w:t>万元，则按</w:t>
            </w:r>
            <w:r>
              <w:rPr>
                <w:rFonts w:hint="eastAsia" w:ascii="Times New Roman" w:hAnsi="Times New Roman"/>
                <w:color w:val="auto"/>
                <w:kern w:val="0"/>
                <w:szCs w:val="21"/>
                <w:highlight w:val="none"/>
                <w:lang w:val="en-US" w:eastAsia="zh-CN"/>
              </w:rPr>
              <w:t>5</w:t>
            </w:r>
            <w:r>
              <w:rPr>
                <w:rFonts w:hint="eastAsia" w:ascii="Times New Roman" w:hAnsi="Times New Roman"/>
                <w:color w:val="auto"/>
                <w:kern w:val="0"/>
                <w:szCs w:val="21"/>
                <w:highlight w:val="none"/>
              </w:rPr>
              <w:t>万元支付，其他则按上述实际计算金额支付，并由中标人向乙方缴纳。中标金额(万元)：</w:t>
            </w:r>
            <w:r>
              <w:rPr>
                <w:rFonts w:ascii="Times New Roman" w:hAnsi="Times New Roman"/>
                <w:color w:val="0000FF"/>
                <w:highlight w:val="none"/>
              </w:rPr>
              <w:t>100以下  100-500  500-1000  1000-5000，对应费率：1.5%  0.8%  0.45%  0.25%</w:t>
            </w:r>
            <w:bookmarkEnd w:id="163"/>
            <w:r>
              <w:rPr>
                <w:rFonts w:ascii="Times New Roman" w:hAnsi="Times New Roman"/>
                <w:highlight w:val="none"/>
              </w:rPr>
              <w:t>；</w:t>
            </w:r>
          </w:p>
          <w:p w14:paraId="001A324F">
            <w:pPr>
              <w:spacing w:line="276" w:lineRule="auto"/>
              <w:rPr>
                <w:rFonts w:ascii="Times New Roman" w:hAnsi="Times New Roman"/>
                <w:highlight w:val="none"/>
              </w:rPr>
            </w:pPr>
            <w:r>
              <w:rPr>
                <w:rFonts w:ascii="Times New Roman" w:hAnsi="Times New Roman"/>
                <w:highlight w:val="none"/>
              </w:rPr>
              <w:t>支付方式：</w:t>
            </w:r>
            <w:bookmarkStart w:id="164" w:name="EB6f69560b00b546c5bbef48c93a73131d"/>
            <w:r>
              <w:rPr>
                <w:rFonts w:ascii="Times New Roman" w:hAnsi="Times New Roman"/>
                <w:color w:val="0000FF"/>
                <w:highlight w:val="none"/>
              </w:rPr>
              <w:t>电汇</w:t>
            </w:r>
            <w:bookmarkEnd w:id="164"/>
            <w:r>
              <w:rPr>
                <w:rFonts w:ascii="Times New Roman" w:hAnsi="Times New Roman"/>
                <w:highlight w:val="none"/>
              </w:rPr>
              <w:t>；</w:t>
            </w:r>
          </w:p>
          <w:p w14:paraId="0B89DAB7">
            <w:pPr>
              <w:spacing w:line="276" w:lineRule="auto"/>
              <w:rPr>
                <w:rFonts w:ascii="Times New Roman" w:hAnsi="Times New Roman"/>
                <w:highlight w:val="none"/>
              </w:rPr>
            </w:pPr>
            <w:r>
              <w:rPr>
                <w:rFonts w:ascii="Times New Roman" w:hAnsi="Times New Roman"/>
                <w:highlight w:val="none"/>
              </w:rPr>
              <w:t>支付时间：</w:t>
            </w:r>
            <w:bookmarkStart w:id="165" w:name="EB930d433462ef40dbaecab793a2d00aa2"/>
            <w:r>
              <w:rPr>
                <w:rFonts w:ascii="Times New Roman" w:hAnsi="Times New Roman"/>
                <w:color w:val="0000FF"/>
                <w:highlight w:val="none"/>
              </w:rPr>
              <w:t>在接到招标代理发出的招标代理费付款通知后领取中标通知书前一次性支付给招标代理机构</w:t>
            </w:r>
            <w:bookmarkEnd w:id="165"/>
            <w:r>
              <w:rPr>
                <w:rFonts w:ascii="Times New Roman" w:hAnsi="Times New Roman"/>
                <w:highlight w:val="none"/>
              </w:rPr>
              <w:t>。</w:t>
            </w:r>
          </w:p>
        </w:tc>
      </w:tr>
      <w:tr w14:paraId="01ED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03431EC8">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9.</w:t>
            </w:r>
            <w:r>
              <w:rPr>
                <w:rFonts w:hint="eastAsia" w:ascii="Times New Roman" w:hAnsi="Times New Roman" w:cs="Times New Roman"/>
                <w:kern w:val="2"/>
                <w:sz w:val="21"/>
                <w:szCs w:val="21"/>
                <w:highlight w:val="white"/>
                <w:lang w:val="en-US" w:eastAsia="zh-CN" w:bidi="ar-SA"/>
              </w:rPr>
              <w:t>5</w:t>
            </w:r>
          </w:p>
        </w:tc>
        <w:tc>
          <w:tcPr>
            <w:tcW w:w="2657" w:type="dxa"/>
            <w:noWrap w:val="0"/>
            <w:vAlign w:val="center"/>
          </w:tcPr>
          <w:p w14:paraId="39181E5D">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政府采购合同融资政策</w:t>
            </w:r>
          </w:p>
        </w:tc>
        <w:tc>
          <w:tcPr>
            <w:tcW w:w="4536" w:type="dxa"/>
            <w:noWrap w:val="0"/>
            <w:vAlign w:val="top"/>
          </w:tcPr>
          <w:p w14:paraId="2BCFCAF0">
            <w:pPr>
              <w:rPr>
                <w:rFonts w:ascii="Times New Roman" w:hAnsi="Times New Roman"/>
                <w:szCs w:val="21"/>
              </w:rPr>
            </w:pPr>
            <w:r>
              <w:rPr>
                <w:rFonts w:ascii="Times New Roman" w:hAnsi="Times New Roman"/>
                <w:szCs w:val="21"/>
                <w:highlight w:val="white"/>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1268F6F8">
            <w:pPr>
              <w:spacing w:line="276" w:lineRule="auto"/>
              <w:rPr>
                <w:rFonts w:hint="eastAsia" w:ascii="Times New Roman" w:hAnsi="Times New Roman"/>
                <w:color w:val="0000FF"/>
                <w:highlight w:val="white"/>
              </w:rPr>
            </w:pPr>
            <w:bookmarkStart w:id="166" w:name="EB95c8cdcf06da4528872a9db84f2daed4"/>
            <w:r>
              <w:rPr>
                <w:rFonts w:hint="eastAsia" w:ascii="Times New Roman" w:hAnsi="Times New Roman"/>
                <w:color w:val="0000FF"/>
                <w:highlight w:val="white"/>
              </w:rPr>
              <w:t>“政采贷”业务政策：《湖北省政府采购合同融</w:t>
            </w:r>
          </w:p>
          <w:p w14:paraId="54E6AA41">
            <w:pPr>
              <w:spacing w:line="276" w:lineRule="auto"/>
              <w:rPr>
                <w:rFonts w:hint="eastAsia" w:ascii="Times New Roman" w:hAnsi="Times New Roman"/>
                <w:color w:val="0000FF"/>
                <w:highlight w:val="white"/>
              </w:rPr>
            </w:pPr>
            <w:r>
              <w:rPr>
                <w:rFonts w:hint="eastAsia" w:ascii="Times New Roman" w:hAnsi="Times New Roman"/>
                <w:color w:val="0000FF"/>
                <w:highlight w:val="white"/>
              </w:rPr>
              <w:t>资实施方案》（鄂财采发[2020]5 号）</w:t>
            </w:r>
          </w:p>
          <w:p w14:paraId="5DF1D4D0">
            <w:pPr>
              <w:spacing w:line="276" w:lineRule="auto"/>
              <w:rPr>
                <w:rFonts w:hint="eastAsia" w:ascii="Times New Roman" w:hAnsi="Times New Roman"/>
                <w:color w:val="0000FF"/>
                <w:highlight w:val="white"/>
              </w:rPr>
            </w:pPr>
            <w:r>
              <w:rPr>
                <w:rFonts w:hint="eastAsia" w:ascii="Times New Roman" w:hAnsi="Times New Roman"/>
                <w:color w:val="0000FF"/>
                <w:highlight w:val="white"/>
              </w:rPr>
              <w:t>“政采贷”业务申请：湖北省政府采购合同融资</w:t>
            </w:r>
          </w:p>
          <w:p w14:paraId="424A574A">
            <w:pPr>
              <w:spacing w:line="276" w:lineRule="auto"/>
              <w:rPr>
                <w:rFonts w:ascii="Times New Roman" w:hAnsi="Times New Roman"/>
                <w:color w:val="0000FF"/>
                <w:highlight w:val="green"/>
              </w:rPr>
            </w:pPr>
            <w:r>
              <w:rPr>
                <w:rFonts w:hint="eastAsia" w:ascii="Times New Roman" w:hAnsi="Times New Roman"/>
                <w:color w:val="0000FF"/>
                <w:highlight w:val="white"/>
              </w:rPr>
              <w:t>平台（https://czt.hubei.gov.cn/zcd/homepage）</w:t>
            </w:r>
            <w:bookmarkEnd w:id="166"/>
          </w:p>
        </w:tc>
      </w:tr>
      <w:tr w14:paraId="7C19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9" w:type="dxa"/>
            <w:noWrap w:val="0"/>
            <w:vAlign w:val="center"/>
          </w:tcPr>
          <w:p w14:paraId="49F4BB76">
            <w:pPr>
              <w:widowControl w:val="0"/>
              <w:spacing w:line="276" w:lineRule="auto"/>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9.</w:t>
            </w:r>
            <w:r>
              <w:rPr>
                <w:rFonts w:hint="eastAsia" w:ascii="Times New Roman" w:hAnsi="Times New Roman" w:cs="Times New Roman"/>
                <w:kern w:val="2"/>
                <w:sz w:val="21"/>
                <w:szCs w:val="21"/>
                <w:highlight w:val="white"/>
                <w:lang w:val="en-US" w:eastAsia="zh-CN" w:bidi="ar-SA"/>
              </w:rPr>
              <w:t>6</w:t>
            </w:r>
          </w:p>
        </w:tc>
        <w:tc>
          <w:tcPr>
            <w:tcW w:w="2657" w:type="dxa"/>
            <w:noWrap w:val="0"/>
            <w:vAlign w:val="center"/>
          </w:tcPr>
          <w:p w14:paraId="04C8E5F1">
            <w:pPr>
              <w:widowControl w:val="0"/>
              <w:spacing w:line="276" w:lineRule="auto"/>
              <w:ind w:firstLine="0" w:firstLineChars="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招标人补充的其他内容</w:t>
            </w:r>
            <w:r>
              <w:rPr>
                <w:rFonts w:ascii="Times New Roman" w:hAnsi="Times New Roman" w:eastAsia="宋体" w:cs="Times New Roman"/>
                <w:kern w:val="2"/>
                <w:sz w:val="21"/>
                <w:szCs w:val="21"/>
                <w:highlight w:val="white"/>
                <w:lang w:val="en-US" w:eastAsia="zh-CN" w:bidi="ar-SA"/>
              </w:rPr>
              <w:tab/>
            </w:r>
          </w:p>
        </w:tc>
        <w:tc>
          <w:tcPr>
            <w:tcW w:w="4536" w:type="dxa"/>
            <w:noWrap w:val="0"/>
            <w:vAlign w:val="top"/>
          </w:tcPr>
          <w:p w14:paraId="60E996B1">
            <w:pPr>
              <w:spacing w:line="300" w:lineRule="exact"/>
              <w:rPr>
                <w:rFonts w:hint="eastAsia" w:ascii="Times New Roman" w:hAnsi="Times New Roman"/>
                <w:color w:val="0000FF"/>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.1终止招标：</w:t>
            </w:r>
          </w:p>
          <w:p w14:paraId="31446BB3">
            <w:pPr>
              <w:spacing w:line="300" w:lineRule="exact"/>
              <w:rPr>
                <w:rFonts w:hint="eastAsia" w:ascii="Times New Roman" w:hAnsi="Times New Roman"/>
                <w:color w:val="0000FF"/>
                <w:highlight w:val="none"/>
              </w:rPr>
            </w:pPr>
            <w:r>
              <w:rPr>
                <w:rFonts w:hint="eastAsia" w:ascii="Times New Roman" w:hAnsi="Times New Roman"/>
                <w:color w:val="0000FF"/>
                <w:highlight w:val="none"/>
              </w:rPr>
              <w:t>招标人终止招标的，将以书面形式通知投标人，已经收取投标保证金的，招标人将提前按规定退还投标保证金。</w:t>
            </w:r>
          </w:p>
          <w:p w14:paraId="4F109F36">
            <w:pPr>
              <w:spacing w:line="300" w:lineRule="exact"/>
              <w:rPr>
                <w:rFonts w:hint="eastAsia" w:ascii="Times New Roman" w:hAnsi="Times New Roman"/>
                <w:color w:val="0000FF"/>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.2投标人须知正文第1.12.2~1.12.3 项修改为：</w:t>
            </w:r>
          </w:p>
          <w:p w14:paraId="5DAC6EEA">
            <w:pPr>
              <w:spacing w:line="300" w:lineRule="exact"/>
              <w:rPr>
                <w:rFonts w:hint="eastAsia" w:ascii="Times New Roman" w:hAnsi="Times New Roman"/>
                <w:color w:val="0000FF"/>
                <w:highlight w:val="none"/>
              </w:rPr>
            </w:pPr>
            <w:r>
              <w:rPr>
                <w:rFonts w:hint="eastAsia" w:ascii="Times New Roman" w:hAnsi="Times New Roman"/>
                <w:color w:val="0000FF"/>
                <w:highlight w:val="none"/>
              </w:rPr>
              <w:t>1.12.2 投标文件存在招标公告附录 5《重大偏差一览表》所列情形的，均属于存在重大偏差。</w:t>
            </w:r>
          </w:p>
          <w:p w14:paraId="50FD7D3B">
            <w:pPr>
              <w:spacing w:line="300" w:lineRule="exact"/>
              <w:rPr>
                <w:rFonts w:hint="eastAsia" w:ascii="Times New Roman" w:hAnsi="Times New Roman"/>
                <w:color w:val="0000FF"/>
                <w:highlight w:val="none"/>
              </w:rPr>
            </w:pPr>
            <w:r>
              <w:rPr>
                <w:rFonts w:hint="eastAsia" w:ascii="Times New Roman" w:hAnsi="Times New Roman"/>
                <w:color w:val="0000FF"/>
                <w:highlight w:val="none"/>
              </w:rPr>
              <w:t>1.12.3 除上述 1.12.2 所列情形外，其他偏差均为细微偏差。</w:t>
            </w:r>
          </w:p>
          <w:p w14:paraId="34A7A7CA">
            <w:pPr>
              <w:spacing w:line="300" w:lineRule="exact"/>
              <w:rPr>
                <w:rFonts w:hint="eastAsia" w:ascii="Times New Roman" w:hAnsi="Times New Roman"/>
                <w:color w:val="0000FF"/>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.3 投标人须知正文 3.7.3(4)目修改为：</w:t>
            </w:r>
          </w:p>
          <w:p w14:paraId="6A36C553">
            <w:pPr>
              <w:spacing w:line="300" w:lineRule="exact"/>
              <w:rPr>
                <w:rFonts w:hint="eastAsia" w:ascii="Times New Roman" w:hAnsi="Times New Roman"/>
                <w:color w:val="0000FF"/>
                <w:highlight w:val="none"/>
              </w:rPr>
            </w:pPr>
            <w:r>
              <w:rPr>
                <w:rFonts w:hint="eastAsia" w:ascii="Times New Roman" w:hAnsi="Times New Roman"/>
                <w:color w:val="0000FF"/>
                <w:highlight w:val="none"/>
              </w:rPr>
              <w:t>投标人加密上传并正常解密投标文件的，视为除对投标文件封面、投标函以外的每一页进行了电子签名及签章，视为满足了招标文件关于签字、盖章的所有要求。确定中标人后，招标人认为有必要的可以要求投标人提供加盖单位公章的投标文件作为存档的投标文件和合同的组成部分。评标时仅对以下内容的签署是否符合要求进行评审：</w:t>
            </w:r>
          </w:p>
          <w:p w14:paraId="4FF89953">
            <w:pPr>
              <w:spacing w:line="300" w:lineRule="exact"/>
              <w:rPr>
                <w:rFonts w:hint="eastAsia" w:ascii="Times New Roman" w:hAnsi="Times New Roman"/>
                <w:color w:val="0000FF"/>
                <w:highlight w:val="none"/>
              </w:rPr>
            </w:pPr>
            <w:r>
              <w:rPr>
                <w:rFonts w:hint="eastAsia" w:ascii="Times New Roman" w:hAnsi="Times New Roman"/>
                <w:color w:val="0000FF"/>
                <w:highlight w:val="none"/>
              </w:rPr>
              <w:t>a.投标文件封面加盖了单位印章； b.投标函加盖了单位印章；</w:t>
            </w:r>
          </w:p>
          <w:p w14:paraId="1854ED32">
            <w:pPr>
              <w:spacing w:line="300" w:lineRule="exact"/>
              <w:rPr>
                <w:rFonts w:hint="eastAsia" w:ascii="Times New Roman" w:hAnsi="Times New Roman"/>
                <w:color w:val="0000FF"/>
                <w:highlight w:val="none"/>
              </w:rPr>
            </w:pPr>
            <w:r>
              <w:rPr>
                <w:rFonts w:hint="eastAsia" w:ascii="Times New Roman" w:hAnsi="Times New Roman"/>
                <w:color w:val="0000FF"/>
                <w:highlight w:val="none"/>
              </w:rPr>
              <w:t>c. 投标函加盖了法定代表人的个人印章或签名</w:t>
            </w:r>
          </w:p>
          <w:p w14:paraId="73D5A8A0">
            <w:pPr>
              <w:spacing w:line="300" w:lineRule="exact"/>
              <w:rPr>
                <w:rFonts w:hint="eastAsia" w:ascii="Times New Roman" w:hAnsi="Times New Roman"/>
                <w:color w:val="0000FF"/>
                <w:highlight w:val="none"/>
              </w:rPr>
            </w:pPr>
            <w:r>
              <w:rPr>
                <w:rFonts w:hint="eastAsia" w:ascii="Times New Roman" w:hAnsi="Times New Roman"/>
                <w:color w:val="0000FF"/>
                <w:highlight w:val="none"/>
              </w:rPr>
              <w:t>章。</w:t>
            </w:r>
          </w:p>
          <w:p w14:paraId="004A35EF">
            <w:pPr>
              <w:spacing w:line="300" w:lineRule="exact"/>
              <w:rPr>
                <w:rFonts w:hint="eastAsia" w:ascii="Times New Roman" w:hAnsi="Times New Roman"/>
                <w:color w:val="0000FF"/>
                <w:highlight w:val="none"/>
              </w:rPr>
            </w:pPr>
            <w:r>
              <w:rPr>
                <w:rFonts w:hint="eastAsia" w:ascii="Times New Roman" w:hAnsi="Times New Roman"/>
                <w:color w:val="0000FF"/>
                <w:highlight w:val="none"/>
              </w:rPr>
              <w:t>注：投标函附录可不签字盖章。</w:t>
            </w:r>
          </w:p>
          <w:p w14:paraId="1F81E4C4">
            <w:pPr>
              <w:spacing w:line="300" w:lineRule="exact"/>
              <w:rPr>
                <w:rFonts w:hint="eastAsia" w:ascii="Times New Roman" w:hAnsi="Times New Roman"/>
                <w:color w:val="0000FF"/>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.4 投标人须知增加第 6.3.3 项</w:t>
            </w:r>
          </w:p>
          <w:p w14:paraId="6A82BCE0">
            <w:pPr>
              <w:spacing w:line="300" w:lineRule="exact"/>
              <w:rPr>
                <w:rFonts w:hint="eastAsia" w:ascii="Times New Roman" w:hAnsi="Times New Roman"/>
                <w:color w:val="0000FF"/>
                <w:highlight w:val="none"/>
              </w:rPr>
            </w:pPr>
            <w:r>
              <w:rPr>
                <w:rFonts w:hint="eastAsia" w:ascii="Times New Roman" w:hAnsi="Times New Roman"/>
                <w:color w:val="0000FF"/>
                <w:highlight w:val="none"/>
              </w:rPr>
              <w:t>项目将按《招标人主体责任履行指引》（发改法规〔2025〕1358 号）的规定，对“可能低于成本或者影响履约的异常低价投标”明确判断标准和评标委员会处理程序。可能低于成本或者影响履约的异常低价投标”判断标准为： 投标报价低于最高投标限价的 65％。</w:t>
            </w:r>
          </w:p>
          <w:p w14:paraId="2F3DE9BF">
            <w:pPr>
              <w:spacing w:line="300" w:lineRule="exact"/>
              <w:rPr>
                <w:rFonts w:hint="eastAsia" w:ascii="Times New Roman" w:hAnsi="Times New Roman"/>
                <w:color w:val="0000FF"/>
                <w:highlight w:val="none"/>
              </w:rPr>
            </w:pPr>
            <w:r>
              <w:rPr>
                <w:rFonts w:hint="eastAsia" w:ascii="Times New Roman" w:hAnsi="Times New Roman"/>
                <w:color w:val="0000FF"/>
                <w:highlight w:val="none"/>
              </w:rPr>
              <w:t>投标报价符合投标人须知第 6.3.3 项情形的，评标委员会将书面通知投标人在收到通知后，在规定时间内作出书面说明并提供相关证明材料。书面说明及证明材料内容要求见《可能低于成本或者影响履约的异常低价说明、证明材料表》，提供书面说明并提供相关证明材料的方式为：通过 “电子交易平台”“投标文件澄清”菜单提交给本评标委员会。投标人在上述时间内未进行书面</w:t>
            </w:r>
          </w:p>
          <w:p w14:paraId="2E55CE16">
            <w:pPr>
              <w:spacing w:line="300" w:lineRule="exact"/>
              <w:rPr>
                <w:rFonts w:hint="eastAsia" w:ascii="Times New Roman" w:hAnsi="Times New Roman"/>
                <w:color w:val="0000FF"/>
                <w:kern w:val="2"/>
                <w:sz w:val="21"/>
                <w:szCs w:val="22"/>
                <w:highlight w:val="none"/>
                <w:lang w:val="en-US" w:eastAsia="zh-CN" w:bidi="ar-SA"/>
              </w:rPr>
            </w:pPr>
            <w:r>
              <w:rPr>
                <w:rFonts w:hint="eastAsia" w:ascii="Times New Roman" w:hAnsi="Times New Roman"/>
                <w:color w:val="0000FF"/>
                <w:highlight w:val="none"/>
              </w:rPr>
              <w:t>说明并提供证明材料的，或不能合理说明并证明</w:t>
            </w:r>
          </w:p>
          <w:p w14:paraId="4EE054C0">
            <w:pPr>
              <w:spacing w:line="300" w:lineRule="exact"/>
              <w:rPr>
                <w:rFonts w:hint="eastAsia" w:ascii="Times New Roman" w:hAnsi="Times New Roman"/>
                <w:color w:val="0000FF"/>
                <w:highlight w:val="none"/>
              </w:rPr>
            </w:pPr>
            <w:r>
              <w:rPr>
                <w:rFonts w:hint="eastAsia" w:ascii="Times New Roman" w:hAnsi="Times New Roman"/>
                <w:color w:val="0000FF"/>
                <w:highlight w:val="none"/>
              </w:rPr>
              <w:t>其报价不属于“低于成本或者影响履约的异常低</w:t>
            </w:r>
          </w:p>
          <w:p w14:paraId="6FCCC93A">
            <w:pPr>
              <w:spacing w:line="300" w:lineRule="exact"/>
              <w:rPr>
                <w:rFonts w:hint="eastAsia" w:ascii="Times New Roman" w:hAnsi="Times New Roman"/>
                <w:color w:val="0000FF"/>
                <w:highlight w:val="none"/>
              </w:rPr>
            </w:pPr>
            <w:r>
              <w:rPr>
                <w:rFonts w:hint="eastAsia" w:ascii="Times New Roman" w:hAnsi="Times New Roman"/>
                <w:color w:val="0000FF"/>
                <w:highlight w:val="none"/>
              </w:rPr>
              <w:t>价”的，其投标将被否决。</w:t>
            </w:r>
          </w:p>
          <w:p w14:paraId="6BA1757E">
            <w:pPr>
              <w:spacing w:line="300" w:lineRule="exact"/>
              <w:rPr>
                <w:rFonts w:hint="eastAsia" w:ascii="Times New Roman" w:hAnsi="Times New Roman"/>
                <w:color w:val="0000FF"/>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.5 投标人须知第 7.4 款 定标 修改为：</w:t>
            </w:r>
          </w:p>
          <w:p w14:paraId="7F2EACC0">
            <w:pPr>
              <w:spacing w:line="300" w:lineRule="exact"/>
              <w:rPr>
                <w:rFonts w:hint="eastAsia" w:ascii="Times New Roman" w:hAnsi="Times New Roman"/>
                <w:color w:val="0000FF"/>
                <w:highlight w:val="none"/>
              </w:rPr>
            </w:pPr>
            <w:r>
              <w:rPr>
                <w:rFonts w:hint="eastAsia" w:ascii="Times New Roman" w:hAnsi="Times New Roman"/>
                <w:color w:val="0000FF"/>
                <w:highlight w:val="none"/>
              </w:rPr>
              <w:t>7.4.1 中标候选人核验</w:t>
            </w:r>
          </w:p>
          <w:p w14:paraId="7732FF23">
            <w:pPr>
              <w:spacing w:line="300" w:lineRule="exact"/>
              <w:rPr>
                <w:rFonts w:hint="eastAsia" w:ascii="Times New Roman" w:hAnsi="Times New Roman"/>
                <w:color w:val="0000FF"/>
                <w:highlight w:val="none"/>
              </w:rPr>
            </w:pPr>
            <w:r>
              <w:rPr>
                <w:rFonts w:hint="eastAsia" w:ascii="Times New Roman" w:hAnsi="Times New Roman"/>
                <w:color w:val="0000FF"/>
                <w:highlight w:val="none"/>
              </w:rPr>
              <w:t>在中标候选人公示后至确定中标人之前，招标人将对中标候选人组织核验。中标候选人应积极配合招标人的核验，在招标人指定的合理期限内配合提供核验所需相关证书、材料原件，配合对投标人单位和人员的现场核验（如有）。核验的内容包括是否存在下列情形之一：</w:t>
            </w:r>
          </w:p>
          <w:p w14:paraId="39ED4737">
            <w:pPr>
              <w:spacing w:line="300" w:lineRule="exact"/>
              <w:rPr>
                <w:rFonts w:hint="eastAsia" w:ascii="Times New Roman" w:hAnsi="Times New Roman"/>
                <w:color w:val="0000FF"/>
                <w:highlight w:val="none"/>
              </w:rPr>
            </w:pPr>
            <w:r>
              <w:rPr>
                <w:rFonts w:hint="eastAsia" w:ascii="Times New Roman" w:hAnsi="Times New Roman"/>
                <w:color w:val="0000FF"/>
                <w:highlight w:val="none"/>
              </w:rPr>
              <w:t>（1）存在弄虚作假、围标串标等违法情形，不</w:t>
            </w:r>
          </w:p>
          <w:p w14:paraId="291768C1">
            <w:pPr>
              <w:spacing w:line="300" w:lineRule="exact"/>
              <w:rPr>
                <w:rFonts w:hint="eastAsia" w:ascii="Times New Roman" w:hAnsi="Times New Roman"/>
                <w:color w:val="0000FF"/>
                <w:highlight w:val="none"/>
              </w:rPr>
            </w:pPr>
            <w:r>
              <w:rPr>
                <w:rFonts w:hint="eastAsia" w:ascii="Times New Roman" w:hAnsi="Times New Roman"/>
                <w:color w:val="0000FF"/>
                <w:highlight w:val="none"/>
              </w:rPr>
              <w:t>符合中标条件的；</w:t>
            </w:r>
          </w:p>
          <w:p w14:paraId="52047F41">
            <w:pPr>
              <w:spacing w:line="300" w:lineRule="exact"/>
              <w:rPr>
                <w:rFonts w:hint="eastAsia" w:ascii="Times New Roman" w:hAnsi="Times New Roman"/>
                <w:color w:val="0000FF"/>
                <w:highlight w:val="none"/>
              </w:rPr>
            </w:pPr>
            <w:r>
              <w:rPr>
                <w:rFonts w:hint="eastAsia" w:ascii="Times New Roman" w:hAnsi="Times New Roman"/>
                <w:color w:val="0000FF"/>
                <w:highlight w:val="none"/>
              </w:rPr>
              <w:t>（2）存在资质、业绩、人员资格、信用、财务状况等不符合中标条件；</w:t>
            </w:r>
          </w:p>
          <w:p w14:paraId="14FB9527">
            <w:pPr>
              <w:spacing w:line="300" w:lineRule="exact"/>
              <w:rPr>
                <w:rFonts w:hint="eastAsia" w:ascii="Times New Roman" w:hAnsi="Times New Roman"/>
                <w:color w:val="0000FF"/>
                <w:highlight w:val="none"/>
              </w:rPr>
            </w:pPr>
            <w:r>
              <w:rPr>
                <w:rFonts w:hint="eastAsia" w:ascii="Times New Roman" w:hAnsi="Times New Roman"/>
                <w:color w:val="0000FF"/>
                <w:highlight w:val="none"/>
              </w:rPr>
              <w:t>（3）因经营、财务状况发生较大变化，可能影响其履约能力的；</w:t>
            </w:r>
          </w:p>
          <w:p w14:paraId="756CC38C">
            <w:pPr>
              <w:spacing w:line="300" w:lineRule="exact"/>
              <w:rPr>
                <w:rFonts w:hint="eastAsia" w:ascii="Times New Roman" w:hAnsi="Times New Roman"/>
                <w:color w:val="0000FF"/>
                <w:highlight w:val="none"/>
              </w:rPr>
            </w:pPr>
            <w:r>
              <w:rPr>
                <w:rFonts w:hint="eastAsia" w:ascii="Times New Roman" w:hAnsi="Times New Roman"/>
                <w:color w:val="0000FF"/>
                <w:highlight w:val="none"/>
              </w:rPr>
              <w:t>（4）不按照招标文件要求提交履约保证金的。招标人认为中标候选人存在前款第（1）（4）目情形的，在充分核验事实情况后，有权按照法律法规和招标文件规定确定其他中标候选人为中标人，也可以重新招标。</w:t>
            </w:r>
          </w:p>
          <w:p w14:paraId="0CC63732">
            <w:pPr>
              <w:spacing w:line="300" w:lineRule="exact"/>
              <w:rPr>
                <w:rFonts w:hint="eastAsia" w:ascii="Times New Roman" w:hAnsi="Times New Roman"/>
                <w:color w:val="0000FF"/>
                <w:highlight w:val="none"/>
              </w:rPr>
            </w:pPr>
            <w:r>
              <w:rPr>
                <w:rFonts w:hint="eastAsia" w:ascii="Times New Roman" w:hAnsi="Times New Roman"/>
                <w:color w:val="0000FF"/>
                <w:highlight w:val="none"/>
              </w:rPr>
              <w:t>招标人发现中标候选人存在违法情形、依法应当给予行政处罚的，将向有关行政监督部门报告，并积极配合相关部门调查取证。</w:t>
            </w:r>
          </w:p>
          <w:p w14:paraId="70009168">
            <w:pPr>
              <w:spacing w:line="300" w:lineRule="exact"/>
              <w:rPr>
                <w:rFonts w:hint="eastAsia" w:ascii="Times New Roman" w:hAnsi="Times New Roman"/>
                <w:color w:val="0000FF"/>
                <w:highlight w:val="none"/>
              </w:rPr>
            </w:pPr>
            <w:r>
              <w:rPr>
                <w:rFonts w:hint="eastAsia" w:ascii="Times New Roman" w:hAnsi="Times New Roman"/>
                <w:color w:val="0000FF"/>
                <w:highlight w:val="none"/>
              </w:rPr>
              <w:t>招标人认为中标候选人存在第一款第（2）（3）目情形的，将请原评标委员会按照招标文件规定的标准和方法审查确认。</w:t>
            </w:r>
          </w:p>
          <w:p w14:paraId="1AA64D3B">
            <w:pPr>
              <w:spacing w:line="300" w:lineRule="exact"/>
              <w:rPr>
                <w:rFonts w:hint="eastAsia" w:ascii="Times New Roman" w:hAnsi="Times New Roman"/>
                <w:color w:val="0000FF"/>
                <w:highlight w:val="none"/>
              </w:rPr>
            </w:pPr>
            <w:r>
              <w:rPr>
                <w:rFonts w:hint="eastAsia" w:ascii="Times New Roman" w:hAnsi="Times New Roman"/>
                <w:color w:val="0000FF"/>
                <w:highlight w:val="none"/>
              </w:rPr>
              <w:t>7.4.2 中标候选人经招标人组织核验后符合中标条件的，招标人将按招标文件明确的定标要素及优先顺序，自主研究确定中标人。</w:t>
            </w:r>
          </w:p>
          <w:p w14:paraId="6177E561">
            <w:pPr>
              <w:spacing w:line="300" w:lineRule="exact"/>
              <w:rPr>
                <w:rFonts w:hint="eastAsia" w:ascii="Times New Roman" w:hAnsi="Times New Roman"/>
                <w:color w:val="0000FF"/>
                <w:highlight w:val="none"/>
              </w:rPr>
            </w:pPr>
            <w:r>
              <w:rPr>
                <w:rFonts w:hint="eastAsia" w:ascii="Times New Roman" w:hAnsi="Times New Roman"/>
                <w:color w:val="0000FF"/>
                <w:highlight w:val="none"/>
              </w:rPr>
              <w:t>7.4.3定标要素及优先顺序</w:t>
            </w:r>
          </w:p>
          <w:p w14:paraId="133F4054">
            <w:pPr>
              <w:spacing w:line="300" w:lineRule="exact"/>
              <w:rPr>
                <w:rFonts w:hint="eastAsia" w:ascii="Times New Roman" w:hAnsi="Times New Roman"/>
                <w:color w:val="0000FF"/>
                <w:highlight w:val="none"/>
              </w:rPr>
            </w:pPr>
            <w:r>
              <w:rPr>
                <w:rFonts w:hint="eastAsia" w:ascii="Times New Roman" w:hAnsi="Times New Roman"/>
                <w:color w:val="0000FF"/>
                <w:highlight w:val="none"/>
              </w:rPr>
              <w:t>招标人将优先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671CCE5">
            <w:pPr>
              <w:spacing w:line="300" w:lineRule="exact"/>
              <w:rPr>
                <w:rFonts w:hint="eastAsia" w:ascii="Times New Roman" w:hAnsi="Times New Roman"/>
                <w:color w:val="0000FF"/>
                <w:highlight w:val="none"/>
              </w:rPr>
            </w:pPr>
            <w:r>
              <w:rPr>
                <w:rFonts w:hint="eastAsia" w:ascii="Times New Roman" w:hAnsi="Times New Roman"/>
                <w:color w:val="0000FF"/>
                <w:highlight w:val="none"/>
              </w:rPr>
              <w:t>7.4.4招标人确定中标人后，将形成定标报告存档备查。</w:t>
            </w:r>
          </w:p>
          <w:p w14:paraId="5DF557CC">
            <w:pPr>
              <w:spacing w:line="300" w:lineRule="exact"/>
              <w:rPr>
                <w:rFonts w:hint="eastAsia" w:ascii="Times New Roman" w:hAnsi="Times New Roman"/>
                <w:color w:val="0000FF"/>
                <w:highlight w:val="none"/>
              </w:rPr>
            </w:pPr>
            <w:r>
              <w:rPr>
                <w:rFonts w:hint="eastAsia" w:ascii="Times New Roman" w:hAnsi="Times New Roman"/>
                <w:color w:val="0000FF"/>
                <w:highlight w:val="none"/>
              </w:rPr>
              <w:t>7.4.5取消中标资格的情形：</w:t>
            </w:r>
          </w:p>
          <w:p w14:paraId="22AA22AA">
            <w:pPr>
              <w:spacing w:line="300" w:lineRule="exact"/>
              <w:rPr>
                <w:rFonts w:hint="eastAsia" w:ascii="Times New Roman" w:hAnsi="Times New Roman"/>
                <w:color w:val="0000FF"/>
                <w:highlight w:val="none"/>
              </w:rPr>
            </w:pPr>
            <w:r>
              <w:rPr>
                <w:rFonts w:hint="eastAsia" w:ascii="Times New Roman" w:hAnsi="Times New Roman"/>
                <w:color w:val="0000FF"/>
                <w:highlight w:val="none"/>
              </w:rPr>
              <w:t>①在发出中标通知书之前发现中标人存在不满足信誉最低要求的情况时，招标人有权取消其中标资格。</w:t>
            </w:r>
          </w:p>
          <w:p w14:paraId="045B881C">
            <w:pPr>
              <w:spacing w:line="300" w:lineRule="exact"/>
              <w:rPr>
                <w:rFonts w:hint="eastAsia" w:ascii="Times New Roman" w:hAnsi="Times New Roman"/>
                <w:color w:val="0000FF"/>
                <w:highlight w:val="none"/>
              </w:rPr>
            </w:pPr>
            <w:r>
              <w:rPr>
                <w:rFonts w:hint="eastAsia" w:ascii="Times New Roman" w:hAnsi="Times New Roman"/>
                <w:color w:val="0000FF"/>
                <w:highlight w:val="none"/>
              </w:rPr>
              <w:t>②中标人投标文件中关于信誉情况存在漏报、瞒报或虚假填报的，招标人有权取消其中标资格。</w:t>
            </w:r>
          </w:p>
          <w:p w14:paraId="245F550C">
            <w:pPr>
              <w:spacing w:line="300" w:lineRule="exact"/>
              <w:rPr>
                <w:rFonts w:hint="eastAsia" w:ascii="Times New Roman" w:hAnsi="Times New Roman"/>
                <w:color w:val="0000FF"/>
                <w:highlight w:val="none"/>
              </w:rPr>
            </w:pPr>
            <w:r>
              <w:rPr>
                <w:rFonts w:hint="eastAsia" w:ascii="Times New Roman" w:hAnsi="Times New Roman"/>
                <w:color w:val="0000FF"/>
                <w:highlight w:val="none"/>
              </w:rPr>
              <w:t>③法律、法规规定的其他应取消中标资格的情形。</w:t>
            </w:r>
          </w:p>
          <w:p w14:paraId="1560F059">
            <w:pPr>
              <w:spacing w:line="300" w:lineRule="exact"/>
              <w:rPr>
                <w:rFonts w:hint="eastAsia" w:ascii="Times New Roman" w:hAnsi="Times New Roman"/>
                <w:color w:val="0000FF"/>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.6说明：招标文件第五章“招标人要求”，在合同条款中称为“发包人要求”或“委托人要求”。</w:t>
            </w:r>
          </w:p>
          <w:p w14:paraId="747448E4">
            <w:pPr>
              <w:spacing w:line="300" w:lineRule="exact"/>
              <w:rPr>
                <w:rFonts w:hint="eastAsia" w:ascii="Times New Roman" w:hAnsi="Times New Roman"/>
                <w:color w:val="0000FF"/>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7因本项目为电子化投标，招标文件采用固定格式，若招标文件中投标人须知前附表的内容与投标人须知正文内容不一致的地方，以投标人须知前附表的内容为准；若招标文件投标格式中所列要求与招标公告及附录中所列要求不一致的，以招标公告及附录中所列要求为准。</w:t>
            </w:r>
          </w:p>
          <w:p w14:paraId="517A883C">
            <w:pPr>
              <w:spacing w:line="300" w:lineRule="exact"/>
              <w:rPr>
                <w:color w:val="0000FF"/>
                <w:sz w:val="21"/>
                <w:highlight w:val="none"/>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.8</w:t>
            </w:r>
            <w:r>
              <w:rPr>
                <w:color w:val="0000FF"/>
                <w:sz w:val="21"/>
                <w:highlight w:val="none"/>
              </w:rPr>
              <w:t>本招标项目名称为：</w:t>
            </w:r>
            <w:r>
              <w:rPr>
                <w:rFonts w:hint="eastAsia"/>
                <w:color w:val="0000FF"/>
                <w:highlight w:val="none"/>
              </w:rPr>
              <w:t>通山至武宁高速公路湖北段</w:t>
            </w:r>
            <w:r>
              <w:rPr>
                <w:rFonts w:hint="eastAsia"/>
                <w:color w:val="0000FF"/>
                <w:sz w:val="21"/>
                <w:highlight w:val="none"/>
                <w:lang w:eastAsia="zh-CN"/>
              </w:rPr>
              <w:t>；</w:t>
            </w:r>
            <w:r>
              <w:rPr>
                <w:rFonts w:hint="eastAsia"/>
                <w:color w:val="0000FF"/>
                <w:sz w:val="21"/>
                <w:highlight w:val="none"/>
              </w:rPr>
              <w:t>标段名称为：</w:t>
            </w:r>
            <w:r>
              <w:rPr>
                <w:rFonts w:hint="eastAsia"/>
                <w:color w:val="0000FF"/>
                <w:highlight w:val="none"/>
              </w:rPr>
              <w:t>TWBPJC-1标段</w:t>
            </w:r>
            <w:r>
              <w:rPr>
                <w:rFonts w:hint="eastAsia"/>
                <w:color w:val="0000FF"/>
                <w:sz w:val="21"/>
                <w:highlight w:val="none"/>
                <w:lang w:eastAsia="zh-CN"/>
              </w:rPr>
              <w:t>；</w:t>
            </w:r>
            <w:r>
              <w:rPr>
                <w:rFonts w:hint="eastAsia"/>
                <w:color w:val="0000FF"/>
                <w:sz w:val="21"/>
                <w:highlight w:val="none"/>
                <w:lang w:val="en-US" w:eastAsia="zh-CN"/>
              </w:rPr>
              <w:t>服务名称为：</w:t>
            </w:r>
            <w:r>
              <w:rPr>
                <w:rFonts w:hint="eastAsia"/>
                <w:color w:val="0000FF"/>
                <w:highlight w:val="none"/>
                <w:lang w:eastAsia="zh-CN"/>
              </w:rPr>
              <w:t>试运营期高边坡监测服务</w:t>
            </w:r>
            <w:r>
              <w:rPr>
                <w:color w:val="0000FF"/>
                <w:sz w:val="21"/>
                <w:highlight w:val="none"/>
              </w:rPr>
              <w:t>。投标人编制投标文件时，如需由投标人自行填写项目名称，项目名称为：</w:t>
            </w:r>
            <w:r>
              <w:rPr>
                <w:rFonts w:hint="eastAsia"/>
                <w:color w:val="0000FF"/>
                <w:highlight w:val="none"/>
              </w:rPr>
              <w:t>通山至武宁高速公路湖北段</w:t>
            </w:r>
            <w:r>
              <w:rPr>
                <w:rFonts w:hint="eastAsia"/>
                <w:color w:val="0000FF"/>
                <w:sz w:val="21"/>
                <w:highlight w:val="none"/>
                <w:lang w:eastAsia="zh-CN"/>
              </w:rPr>
              <w:t>；</w:t>
            </w:r>
            <w:r>
              <w:rPr>
                <w:rFonts w:hint="eastAsia"/>
                <w:color w:val="0000FF"/>
                <w:sz w:val="21"/>
                <w:highlight w:val="none"/>
              </w:rPr>
              <w:t>标段名称为：</w:t>
            </w:r>
            <w:r>
              <w:rPr>
                <w:rFonts w:hint="eastAsia"/>
                <w:color w:val="0000FF"/>
                <w:highlight w:val="none"/>
              </w:rPr>
              <w:t>TWBPJC-1标段</w:t>
            </w:r>
            <w:r>
              <w:rPr>
                <w:rFonts w:hint="eastAsia"/>
                <w:color w:val="0000FF"/>
                <w:sz w:val="21"/>
                <w:highlight w:val="none"/>
                <w:lang w:eastAsia="zh-CN"/>
              </w:rPr>
              <w:t>；</w:t>
            </w:r>
            <w:r>
              <w:rPr>
                <w:rFonts w:hint="eastAsia"/>
                <w:color w:val="0000FF"/>
                <w:sz w:val="21"/>
                <w:highlight w:val="none"/>
                <w:lang w:val="en-US" w:eastAsia="zh-CN"/>
              </w:rPr>
              <w:t>服务名称为：</w:t>
            </w:r>
            <w:r>
              <w:rPr>
                <w:rFonts w:hint="eastAsia"/>
                <w:color w:val="0000FF"/>
                <w:highlight w:val="none"/>
                <w:lang w:eastAsia="zh-CN"/>
              </w:rPr>
              <w:t>试运营期高边坡监测服务</w:t>
            </w:r>
            <w:r>
              <w:rPr>
                <w:color w:val="0000FF"/>
                <w:sz w:val="21"/>
                <w:highlight w:val="none"/>
              </w:rPr>
              <w:t>；如存在中心系统自动链接项目名称，且投标人无法修改的情况时项目名称以中心系统自动链接的为准。</w:t>
            </w:r>
          </w:p>
          <w:p w14:paraId="2AE4BAE7">
            <w:pPr>
              <w:spacing w:line="300" w:lineRule="exact"/>
              <w:rPr>
                <w:rFonts w:hint="eastAsia" w:ascii="Times New Roman" w:hAnsi="Times New Roman"/>
                <w:color w:val="0000FF"/>
                <w:kern w:val="2"/>
                <w:sz w:val="21"/>
                <w:szCs w:val="22"/>
                <w:highlight w:val="none"/>
                <w:lang w:val="en-US" w:eastAsia="zh-CN" w:bidi="ar-SA"/>
              </w:rPr>
            </w:pPr>
            <w:r>
              <w:rPr>
                <w:rFonts w:hint="eastAsia" w:ascii="Times New Roman" w:hAnsi="Times New Roman"/>
                <w:color w:val="0000FF"/>
                <w:highlight w:val="none"/>
              </w:rPr>
              <w:t>9.</w:t>
            </w:r>
            <w:r>
              <w:rPr>
                <w:rFonts w:hint="eastAsia" w:ascii="Times New Roman" w:hAnsi="Times New Roman"/>
                <w:color w:val="0000FF"/>
                <w:highlight w:val="none"/>
                <w:lang w:val="en-US" w:eastAsia="zh-CN"/>
              </w:rPr>
              <w:t>6</w:t>
            </w:r>
            <w:r>
              <w:rPr>
                <w:rFonts w:hint="eastAsia" w:ascii="Times New Roman" w:hAnsi="Times New Roman"/>
                <w:color w:val="0000FF"/>
                <w:highlight w:val="none"/>
              </w:rPr>
              <w:t>.9第六章投标文件格式资格审查资料“投标函附录”、“联合体协议书”、 “拟分包计划表”、 “分包意向协议书”、“中小企业声明函”、“正在服务和新承接的项目情况表”、“近年发生的诉讼和仲裁情况”“拟委任的主要人员汇总表”投标人可不填写。</w:t>
            </w:r>
          </w:p>
        </w:tc>
      </w:tr>
    </w:tbl>
    <w:p w14:paraId="1B054925">
      <w:pPr>
        <w:ind w:firstLine="420"/>
        <w:rPr>
          <w:rFonts w:ascii="Times New Roman" w:hAnsi="Times New Roman"/>
        </w:rPr>
      </w:pPr>
      <w:r>
        <w:rPr>
          <w:rFonts w:ascii="Times New Roman" w:hAnsi="Times New Roman"/>
          <w:highlight w:val="white"/>
        </w:rPr>
        <w:t>备注：</w:t>
      </w:r>
    </w:p>
    <w:p w14:paraId="020834E0">
      <w:pPr>
        <w:ind w:firstLine="420"/>
        <w:rPr>
          <w:rFonts w:ascii="Times New Roman" w:hAnsi="Times New Roman"/>
        </w:rPr>
      </w:pPr>
      <w:r>
        <w:rPr>
          <w:rFonts w:ascii="Times New Roman" w:hAnsi="Times New Roman"/>
          <w:highlight w:val="white"/>
        </w:rPr>
        <w:t>1. 本章第3.2.4（A）项最高投标限价的设置适用于招标人向中标人支付合同费用的招标项目。本章第3.2.4（B）项最低投标限价的设置适用于中标人向招标人支付合同费用的招标项目，如租赁经营项目等。</w:t>
      </w:r>
    </w:p>
    <w:p w14:paraId="65F40A99">
      <w:pPr>
        <w:ind w:firstLine="420"/>
        <w:rPr>
          <w:rFonts w:ascii="Times New Roman" w:hAnsi="Times New Roman"/>
        </w:rPr>
      </w:pPr>
      <w:r>
        <w:rPr>
          <w:rFonts w:ascii="Times New Roman" w:hAnsi="Times New Roman"/>
          <w:highlight w:val="white"/>
        </w:rPr>
        <w:t>2. 投标人须知前附表第1.4.3项“投标人不得存在的其他情形”，应当与标准勘察、设计、监理招标文件相关内容衔接，并补充完善。</w:t>
      </w:r>
    </w:p>
    <w:p w14:paraId="13083A06">
      <w:pPr>
        <w:keepNext w:val="0"/>
        <w:keepLines w:val="0"/>
        <w:widowControl w:val="0"/>
        <w:spacing w:before="260" w:after="260" w:line="413" w:lineRule="auto"/>
        <w:ind w:firstLine="0" w:firstLineChars="0"/>
        <w:jc w:val="both"/>
        <w:outlineLvl w:val="1"/>
        <w:rPr>
          <w:rFonts w:ascii="Times New Roman" w:hAnsi="Times New Roman" w:eastAsia="黑体" w:cs="Times New Roman"/>
          <w:b/>
          <w:color w:val="000080"/>
          <w:kern w:val="2"/>
          <w:sz w:val="20"/>
          <w:szCs w:val="32"/>
          <w:highlight w:val="white"/>
          <w:lang w:val="en-US" w:eastAsia="zh-CN" w:bidi="ar-SA"/>
        </w:rPr>
      </w:pPr>
      <w:r>
        <w:rPr>
          <w:rFonts w:ascii="Times New Roman" w:hAnsi="Times New Roman" w:eastAsia="黑体" w:cs="Times New Roman"/>
          <w:b/>
          <w:color w:val="000080"/>
          <w:kern w:val="2"/>
          <w:sz w:val="20"/>
          <w:szCs w:val="32"/>
          <w:highlight w:val="white"/>
          <w:lang w:val="en-US" w:eastAsia="zh-CN" w:bidi="ar-SA"/>
        </w:rPr>
        <w:br w:type="page"/>
      </w:r>
      <w:r>
        <w:rPr>
          <w:rFonts w:ascii="Times New Roman" w:hAnsi="Times New Roman" w:eastAsia="黑体" w:cs="Times New Roman"/>
          <w:b/>
          <w:kern w:val="2"/>
          <w:sz w:val="32"/>
          <w:szCs w:val="36"/>
          <w:highlight w:val="none"/>
          <w:lang w:val="en-US" w:eastAsia="zh-CN" w:bidi="ar-SA"/>
        </w:rPr>
        <w:t>投标人须知正文</w:t>
      </w:r>
    </w:p>
    <w:p w14:paraId="7D17AA0C">
      <w:pPr>
        <w:pStyle w:val="82"/>
        <w:numPr>
          <w:ilvl w:val="0"/>
          <w:numId w:val="3"/>
        </w:numPr>
        <w:tabs>
          <w:tab w:val="left" w:pos="1521"/>
        </w:tabs>
        <w:spacing w:before="395" w:after="0" w:line="240" w:lineRule="auto"/>
        <w:ind w:left="1521" w:right="0" w:hanging="298"/>
        <w:jc w:val="left"/>
        <w:rPr>
          <w:sz w:val="24"/>
        </w:rPr>
      </w:pPr>
      <w:bookmarkStart w:id="167" w:name="_Toc16713"/>
      <w:bookmarkStart w:id="168" w:name="_Toc140053097"/>
      <w:bookmarkStart w:id="169" w:name="_Toc10668"/>
      <w:bookmarkStart w:id="170" w:name="_Toc256000004"/>
      <w:bookmarkStart w:id="171" w:name="_Toc16790"/>
      <w:r>
        <w:rPr>
          <w:spacing w:val="-5"/>
          <w:sz w:val="24"/>
        </w:rPr>
        <w:t>总则</w:t>
      </w:r>
    </w:p>
    <w:p w14:paraId="4FFB3CEA">
      <w:pPr>
        <w:pStyle w:val="82"/>
        <w:numPr>
          <w:ilvl w:val="1"/>
          <w:numId w:val="3"/>
        </w:numPr>
        <w:tabs>
          <w:tab w:val="left" w:pos="1535"/>
        </w:tabs>
        <w:spacing w:before="304" w:after="0" w:line="240" w:lineRule="auto"/>
        <w:ind w:left="1535" w:right="0" w:hanging="448"/>
        <w:jc w:val="left"/>
        <w:rPr>
          <w:rFonts w:ascii="Arial" w:eastAsia="Arial"/>
          <w:sz w:val="24"/>
        </w:rPr>
      </w:pPr>
      <w:bookmarkStart w:id="172" w:name="1.1 项目概况"/>
      <w:bookmarkEnd w:id="172"/>
      <w:r>
        <w:rPr>
          <w:spacing w:val="-3"/>
          <w:sz w:val="24"/>
        </w:rPr>
        <w:t>项目概况</w:t>
      </w:r>
    </w:p>
    <w:p w14:paraId="508A39EE">
      <w:pPr>
        <w:pStyle w:val="82"/>
        <w:numPr>
          <w:ilvl w:val="2"/>
          <w:numId w:val="3"/>
        </w:numPr>
        <w:tabs>
          <w:tab w:val="left" w:pos="1745"/>
        </w:tabs>
        <w:spacing w:before="52" w:after="0" w:line="271" w:lineRule="exact"/>
        <w:ind w:left="1745" w:right="0" w:hanging="522"/>
        <w:jc w:val="left"/>
        <w:rPr>
          <w:sz w:val="21"/>
        </w:rPr>
      </w:pPr>
      <w:r>
        <w:rPr>
          <w:spacing w:val="-15"/>
          <w:sz w:val="21"/>
        </w:rPr>
        <w:t>根据《中华人民共和国招标投标法》、《中华人民共和国招标投标法实施条例》等</w:t>
      </w:r>
      <w:r>
        <w:rPr>
          <w:spacing w:val="-2"/>
          <w:sz w:val="21"/>
        </w:rPr>
        <w:t>有关法律、法规和规章的规定，本招标项目已具备招标条件。</w:t>
      </w:r>
      <w:r>
        <w:rPr>
          <w:spacing w:val="-1"/>
          <w:sz w:val="21"/>
        </w:rPr>
        <w:t>招标人：见投标人须知前附表。</w:t>
      </w:r>
    </w:p>
    <w:p w14:paraId="7627A430">
      <w:pPr>
        <w:pStyle w:val="82"/>
        <w:numPr>
          <w:ilvl w:val="2"/>
          <w:numId w:val="3"/>
        </w:numPr>
        <w:tabs>
          <w:tab w:val="left" w:pos="1745"/>
        </w:tabs>
        <w:spacing w:before="0" w:after="0" w:line="270" w:lineRule="exact"/>
        <w:ind w:left="1745" w:right="0" w:hanging="522"/>
        <w:jc w:val="left"/>
        <w:rPr>
          <w:sz w:val="21"/>
        </w:rPr>
      </w:pPr>
      <w:r>
        <w:rPr>
          <w:spacing w:val="-1"/>
          <w:sz w:val="21"/>
        </w:rPr>
        <w:t>招标代理机构：见投标人须知前附表。</w:t>
      </w:r>
    </w:p>
    <w:p w14:paraId="0DAE898C">
      <w:pPr>
        <w:pStyle w:val="82"/>
        <w:numPr>
          <w:ilvl w:val="2"/>
          <w:numId w:val="3"/>
        </w:numPr>
        <w:tabs>
          <w:tab w:val="left" w:pos="1745"/>
        </w:tabs>
        <w:spacing w:before="0" w:after="0" w:line="270" w:lineRule="exact"/>
        <w:ind w:left="1745" w:right="0" w:hanging="522"/>
        <w:jc w:val="left"/>
        <w:rPr>
          <w:sz w:val="21"/>
        </w:rPr>
      </w:pPr>
      <w:r>
        <w:rPr>
          <w:spacing w:val="-1"/>
          <w:sz w:val="21"/>
        </w:rPr>
        <w:t>招标项目名称：见投标人须知前附表。</w:t>
      </w:r>
    </w:p>
    <w:p w14:paraId="09ED2B5D">
      <w:pPr>
        <w:pStyle w:val="82"/>
        <w:numPr>
          <w:ilvl w:val="2"/>
          <w:numId w:val="3"/>
        </w:numPr>
        <w:tabs>
          <w:tab w:val="left" w:pos="1714"/>
        </w:tabs>
        <w:spacing w:before="0" w:after="0" w:line="272" w:lineRule="exact"/>
        <w:ind w:left="1714" w:right="0" w:hanging="491"/>
        <w:jc w:val="left"/>
        <w:rPr>
          <w:sz w:val="21"/>
        </w:rPr>
      </w:pPr>
      <w:r>
        <w:rPr>
          <w:spacing w:val="-1"/>
          <w:sz w:val="21"/>
        </w:rPr>
        <w:t>项目建设地点：见投标人须知前附表。</w:t>
      </w:r>
    </w:p>
    <w:p w14:paraId="7AAAEE78">
      <w:pPr>
        <w:pStyle w:val="82"/>
        <w:numPr>
          <w:ilvl w:val="2"/>
          <w:numId w:val="3"/>
        </w:numPr>
        <w:tabs>
          <w:tab w:val="left" w:pos="1745"/>
        </w:tabs>
        <w:spacing w:before="13" w:after="0" w:line="271" w:lineRule="exact"/>
        <w:ind w:left="1745" w:right="0" w:hanging="522"/>
        <w:jc w:val="left"/>
        <w:rPr>
          <w:sz w:val="21"/>
        </w:rPr>
      </w:pPr>
      <w:r>
        <w:rPr>
          <w:spacing w:val="-1"/>
          <w:sz w:val="21"/>
        </w:rPr>
        <w:t>项目建设规模：见投标人须知前附表。</w:t>
      </w:r>
    </w:p>
    <w:p w14:paraId="6B4F10DE">
      <w:pPr>
        <w:pStyle w:val="82"/>
        <w:numPr>
          <w:ilvl w:val="2"/>
          <w:numId w:val="3"/>
        </w:numPr>
        <w:tabs>
          <w:tab w:val="left" w:pos="1745"/>
        </w:tabs>
        <w:spacing w:before="0" w:after="0" w:line="272" w:lineRule="exact"/>
        <w:ind w:left="1745" w:right="0" w:hanging="522"/>
        <w:jc w:val="left"/>
        <w:rPr>
          <w:sz w:val="21"/>
        </w:rPr>
      </w:pPr>
      <w:r>
        <w:rPr>
          <w:spacing w:val="-2"/>
          <w:sz w:val="21"/>
        </w:rPr>
        <w:t>项目投资估算</w:t>
      </w:r>
      <w:r>
        <w:rPr>
          <w:rFonts w:ascii="Calibri" w:eastAsia="Calibri"/>
          <w:spacing w:val="-2"/>
          <w:sz w:val="21"/>
        </w:rPr>
        <w:t>/</w:t>
      </w:r>
      <w:r>
        <w:rPr>
          <w:spacing w:val="-2"/>
          <w:sz w:val="21"/>
        </w:rPr>
        <w:t>建筑安装工程费</w:t>
      </w:r>
      <w:r>
        <w:rPr>
          <w:rFonts w:ascii="Calibri" w:eastAsia="Calibri"/>
          <w:spacing w:val="-2"/>
          <w:sz w:val="21"/>
        </w:rPr>
        <w:t>/</w:t>
      </w:r>
      <w:r>
        <w:rPr>
          <w:spacing w:val="-3"/>
          <w:sz w:val="21"/>
        </w:rPr>
        <w:t>工程概算：见投标人须知前附表。</w:t>
      </w:r>
    </w:p>
    <w:p w14:paraId="31873EC0">
      <w:pPr>
        <w:pStyle w:val="82"/>
        <w:numPr>
          <w:ilvl w:val="1"/>
          <w:numId w:val="3"/>
        </w:numPr>
        <w:tabs>
          <w:tab w:val="left" w:pos="1535"/>
        </w:tabs>
        <w:spacing w:before="162" w:after="0" w:line="240" w:lineRule="auto"/>
        <w:ind w:left="1535" w:right="0" w:hanging="448"/>
        <w:jc w:val="left"/>
        <w:rPr>
          <w:rFonts w:ascii="Arial" w:eastAsia="Arial"/>
          <w:sz w:val="24"/>
        </w:rPr>
      </w:pPr>
      <w:bookmarkStart w:id="173" w:name="1.2 招标项目的资金来源和落实情况"/>
      <w:bookmarkEnd w:id="173"/>
      <w:r>
        <w:rPr>
          <w:spacing w:val="-1"/>
          <w:sz w:val="24"/>
        </w:rPr>
        <w:t>招标项目的资金来源和落实情况</w:t>
      </w:r>
    </w:p>
    <w:p w14:paraId="5429B2A2">
      <w:pPr>
        <w:pStyle w:val="82"/>
        <w:numPr>
          <w:ilvl w:val="2"/>
          <w:numId w:val="3"/>
        </w:numPr>
        <w:tabs>
          <w:tab w:val="left" w:pos="1745"/>
        </w:tabs>
        <w:spacing w:before="139" w:after="0" w:line="240" w:lineRule="auto"/>
        <w:ind w:left="1745" w:right="0" w:hanging="522"/>
        <w:jc w:val="left"/>
        <w:rPr>
          <w:sz w:val="21"/>
        </w:rPr>
      </w:pPr>
      <w:r>
        <w:rPr>
          <w:spacing w:val="-1"/>
          <w:sz w:val="21"/>
        </w:rPr>
        <w:t>资金来源及比例：见投标人须知前附表。</w:t>
      </w:r>
    </w:p>
    <w:p w14:paraId="7D8D701F">
      <w:pPr>
        <w:pStyle w:val="82"/>
        <w:numPr>
          <w:ilvl w:val="2"/>
          <w:numId w:val="3"/>
        </w:numPr>
        <w:tabs>
          <w:tab w:val="left" w:pos="1745"/>
        </w:tabs>
        <w:spacing w:before="117" w:after="0" w:line="240" w:lineRule="auto"/>
        <w:ind w:left="1745" w:right="0" w:hanging="522"/>
        <w:jc w:val="left"/>
        <w:rPr>
          <w:sz w:val="21"/>
        </w:rPr>
      </w:pPr>
      <w:r>
        <w:rPr>
          <w:spacing w:val="-1"/>
          <w:sz w:val="21"/>
        </w:rPr>
        <w:t>资金落实情况：见投标人须知前附表。</w:t>
      </w:r>
    </w:p>
    <w:p w14:paraId="31FA511E">
      <w:pPr>
        <w:pStyle w:val="82"/>
        <w:numPr>
          <w:ilvl w:val="2"/>
          <w:numId w:val="3"/>
        </w:numPr>
        <w:tabs>
          <w:tab w:val="left" w:pos="1745"/>
        </w:tabs>
        <w:spacing w:before="132" w:after="0" w:line="240" w:lineRule="auto"/>
        <w:ind w:left="1745" w:right="0" w:hanging="522"/>
        <w:jc w:val="left"/>
        <w:rPr>
          <w:sz w:val="21"/>
        </w:rPr>
      </w:pPr>
      <w:r>
        <w:rPr>
          <w:spacing w:val="-1"/>
          <w:sz w:val="21"/>
        </w:rPr>
        <w:t>本招标项目性质：见投标人须知前附表。</w:t>
      </w:r>
    </w:p>
    <w:p w14:paraId="2642A1EA">
      <w:pPr>
        <w:pStyle w:val="10"/>
        <w:rPr>
          <w:sz w:val="21"/>
        </w:rPr>
      </w:pPr>
    </w:p>
    <w:p w14:paraId="0008E47C">
      <w:pPr>
        <w:pStyle w:val="10"/>
        <w:spacing w:before="37"/>
        <w:rPr>
          <w:sz w:val="21"/>
        </w:rPr>
      </w:pPr>
    </w:p>
    <w:p w14:paraId="5C2ABA4A">
      <w:pPr>
        <w:pStyle w:val="82"/>
        <w:numPr>
          <w:ilvl w:val="1"/>
          <w:numId w:val="3"/>
        </w:numPr>
        <w:tabs>
          <w:tab w:val="left" w:pos="1535"/>
        </w:tabs>
        <w:spacing w:before="0" w:after="0" w:line="240" w:lineRule="auto"/>
        <w:ind w:left="1535" w:right="0" w:hanging="448"/>
        <w:jc w:val="left"/>
        <w:rPr>
          <w:rFonts w:ascii="Arial" w:eastAsia="Arial"/>
          <w:sz w:val="24"/>
        </w:rPr>
      </w:pPr>
      <w:bookmarkStart w:id="174" w:name="1.3 招标范围、服务期限、质量标准和安全目标"/>
      <w:bookmarkEnd w:id="174"/>
      <w:r>
        <w:rPr>
          <w:spacing w:val="-1"/>
          <w:sz w:val="24"/>
        </w:rPr>
        <w:t>招标范围、服务期限、质量标准和安全目标</w:t>
      </w:r>
    </w:p>
    <w:p w14:paraId="3A40C0F5">
      <w:pPr>
        <w:pStyle w:val="82"/>
        <w:numPr>
          <w:ilvl w:val="2"/>
          <w:numId w:val="3"/>
        </w:numPr>
        <w:tabs>
          <w:tab w:val="left" w:pos="1745"/>
        </w:tabs>
        <w:spacing w:before="139" w:after="0" w:line="240" w:lineRule="auto"/>
        <w:ind w:left="1745" w:right="0" w:hanging="522"/>
        <w:jc w:val="left"/>
        <w:rPr>
          <w:sz w:val="21"/>
        </w:rPr>
      </w:pPr>
      <w:r>
        <w:rPr>
          <w:spacing w:val="-1"/>
          <w:sz w:val="21"/>
        </w:rPr>
        <w:t>招标范围：见投标人须知前附表。</w:t>
      </w:r>
    </w:p>
    <w:p w14:paraId="370B215B">
      <w:pPr>
        <w:pStyle w:val="82"/>
        <w:numPr>
          <w:ilvl w:val="2"/>
          <w:numId w:val="3"/>
        </w:numPr>
        <w:tabs>
          <w:tab w:val="left" w:pos="1745"/>
        </w:tabs>
        <w:spacing w:before="132" w:after="0" w:line="240" w:lineRule="auto"/>
        <w:ind w:left="1745" w:right="0" w:hanging="522"/>
        <w:jc w:val="left"/>
        <w:rPr>
          <w:sz w:val="21"/>
        </w:rPr>
      </w:pPr>
      <w:r>
        <w:rPr>
          <w:spacing w:val="-1"/>
          <w:sz w:val="21"/>
        </w:rPr>
        <w:t>服务期限：见投标人须知前附表。</w:t>
      </w:r>
    </w:p>
    <w:p w14:paraId="135FBDF0">
      <w:pPr>
        <w:pStyle w:val="82"/>
        <w:numPr>
          <w:ilvl w:val="2"/>
          <w:numId w:val="3"/>
        </w:numPr>
        <w:tabs>
          <w:tab w:val="left" w:pos="1745"/>
        </w:tabs>
        <w:spacing w:before="132" w:after="0" w:line="240" w:lineRule="auto"/>
        <w:ind w:left="1745" w:right="0" w:hanging="522"/>
        <w:jc w:val="left"/>
        <w:rPr>
          <w:sz w:val="21"/>
        </w:rPr>
      </w:pPr>
      <w:r>
        <w:rPr>
          <w:spacing w:val="-1"/>
          <w:sz w:val="21"/>
        </w:rPr>
        <w:t>质量标准：见投标人须知前附表。</w:t>
      </w:r>
    </w:p>
    <w:p w14:paraId="75000D47">
      <w:pPr>
        <w:pStyle w:val="82"/>
        <w:numPr>
          <w:ilvl w:val="2"/>
          <w:numId w:val="3"/>
        </w:numPr>
        <w:tabs>
          <w:tab w:val="left" w:pos="1745"/>
        </w:tabs>
        <w:spacing w:before="118" w:after="0" w:line="240" w:lineRule="auto"/>
        <w:ind w:left="1745" w:right="0" w:hanging="522"/>
        <w:jc w:val="left"/>
        <w:rPr>
          <w:sz w:val="21"/>
        </w:rPr>
      </w:pPr>
      <w:r>
        <w:rPr>
          <w:spacing w:val="-1"/>
          <w:sz w:val="21"/>
        </w:rPr>
        <w:t>安全目标：见投标人须知前附表。</w:t>
      </w:r>
    </w:p>
    <w:p w14:paraId="39747024">
      <w:pPr>
        <w:pStyle w:val="82"/>
        <w:numPr>
          <w:ilvl w:val="2"/>
          <w:numId w:val="3"/>
        </w:numPr>
        <w:tabs>
          <w:tab w:val="left" w:pos="1745"/>
        </w:tabs>
        <w:spacing w:before="117" w:after="0" w:line="240" w:lineRule="auto"/>
        <w:ind w:left="1745" w:right="0" w:hanging="522"/>
        <w:jc w:val="left"/>
        <w:rPr>
          <w:sz w:val="21"/>
        </w:rPr>
      </w:pPr>
      <w:r>
        <w:rPr>
          <w:spacing w:val="-1"/>
          <w:sz w:val="21"/>
        </w:rPr>
        <w:t>本标段执行的政府采购政策：见投标人须知前附表。</w:t>
      </w:r>
    </w:p>
    <w:p w14:paraId="7B2B96C3">
      <w:pPr>
        <w:pStyle w:val="10"/>
        <w:rPr>
          <w:sz w:val="21"/>
        </w:rPr>
      </w:pPr>
    </w:p>
    <w:p w14:paraId="74CB0782">
      <w:pPr>
        <w:pStyle w:val="10"/>
        <w:spacing w:before="36"/>
        <w:rPr>
          <w:sz w:val="21"/>
        </w:rPr>
      </w:pPr>
    </w:p>
    <w:p w14:paraId="577CB276">
      <w:pPr>
        <w:pStyle w:val="82"/>
        <w:numPr>
          <w:ilvl w:val="1"/>
          <w:numId w:val="3"/>
        </w:numPr>
        <w:tabs>
          <w:tab w:val="left" w:pos="1535"/>
        </w:tabs>
        <w:spacing w:before="0" w:after="0" w:line="240" w:lineRule="auto"/>
        <w:ind w:left="1535" w:right="0" w:hanging="448"/>
        <w:jc w:val="left"/>
        <w:rPr>
          <w:rFonts w:ascii="Arial" w:eastAsia="Arial"/>
          <w:sz w:val="24"/>
        </w:rPr>
      </w:pPr>
      <w:bookmarkStart w:id="175" w:name="1.4 投标人资格要求"/>
      <w:bookmarkEnd w:id="175"/>
      <w:r>
        <w:rPr>
          <w:spacing w:val="-2"/>
          <w:sz w:val="24"/>
        </w:rPr>
        <w:t>投标人资格要求</w:t>
      </w:r>
    </w:p>
    <w:p w14:paraId="78C0BD8F">
      <w:pPr>
        <w:pStyle w:val="82"/>
        <w:numPr>
          <w:ilvl w:val="2"/>
          <w:numId w:val="3"/>
        </w:numPr>
        <w:tabs>
          <w:tab w:val="left" w:pos="1714"/>
        </w:tabs>
        <w:spacing w:before="154" w:after="0" w:line="240" w:lineRule="auto"/>
        <w:ind w:left="1714" w:right="0" w:hanging="491"/>
        <w:jc w:val="left"/>
        <w:rPr>
          <w:sz w:val="21"/>
        </w:rPr>
      </w:pPr>
      <w:r>
        <w:rPr>
          <w:spacing w:val="-3"/>
          <w:sz w:val="21"/>
        </w:rPr>
        <w:t>投标人应具备承担本标段服务工作的资质条件、能力和信誉。</w:t>
      </w:r>
    </w:p>
    <w:p w14:paraId="26093009">
      <w:pPr>
        <w:pStyle w:val="82"/>
        <w:numPr>
          <w:ilvl w:val="0"/>
          <w:numId w:val="4"/>
        </w:numPr>
        <w:tabs>
          <w:tab w:val="left" w:pos="1747"/>
        </w:tabs>
        <w:spacing w:before="117" w:after="0" w:line="240" w:lineRule="auto"/>
        <w:ind w:left="1747" w:right="0" w:hanging="524"/>
        <w:jc w:val="left"/>
        <w:rPr>
          <w:sz w:val="21"/>
        </w:rPr>
      </w:pPr>
      <w:r>
        <w:rPr>
          <w:spacing w:val="-3"/>
          <w:sz w:val="21"/>
        </w:rPr>
        <w:t>资质要求：见投标人须知附录一；</w:t>
      </w:r>
    </w:p>
    <w:p w14:paraId="39E6A496">
      <w:pPr>
        <w:pStyle w:val="82"/>
        <w:numPr>
          <w:ilvl w:val="0"/>
          <w:numId w:val="4"/>
        </w:numPr>
        <w:tabs>
          <w:tab w:val="left" w:pos="1747"/>
        </w:tabs>
        <w:spacing w:before="133" w:after="0" w:line="240" w:lineRule="auto"/>
        <w:ind w:left="1747" w:right="0" w:hanging="524"/>
        <w:jc w:val="left"/>
        <w:rPr>
          <w:sz w:val="21"/>
        </w:rPr>
      </w:pPr>
      <w:r>
        <w:rPr>
          <w:spacing w:val="-1"/>
          <w:sz w:val="21"/>
        </w:rPr>
        <w:t>财务要求：见投标人须知附录一；</w:t>
      </w:r>
    </w:p>
    <w:p w14:paraId="0D334AAC">
      <w:pPr>
        <w:pStyle w:val="82"/>
        <w:numPr>
          <w:ilvl w:val="0"/>
          <w:numId w:val="4"/>
        </w:numPr>
        <w:tabs>
          <w:tab w:val="left" w:pos="1747"/>
        </w:tabs>
        <w:spacing w:before="132" w:after="0" w:line="240" w:lineRule="auto"/>
        <w:ind w:left="1747" w:right="0" w:hanging="524"/>
        <w:jc w:val="left"/>
        <w:rPr>
          <w:sz w:val="21"/>
        </w:rPr>
      </w:pPr>
      <w:r>
        <w:rPr>
          <w:spacing w:val="-1"/>
          <w:sz w:val="21"/>
        </w:rPr>
        <w:t>业绩要求：见投标人须知附录一；</w:t>
      </w:r>
    </w:p>
    <w:p w14:paraId="73D0943A">
      <w:pPr>
        <w:pStyle w:val="82"/>
        <w:numPr>
          <w:ilvl w:val="0"/>
          <w:numId w:val="4"/>
        </w:numPr>
        <w:tabs>
          <w:tab w:val="left" w:pos="1747"/>
        </w:tabs>
        <w:spacing w:before="117" w:after="0" w:line="240" w:lineRule="auto"/>
        <w:ind w:left="1747" w:right="0" w:hanging="524"/>
        <w:jc w:val="left"/>
        <w:rPr>
          <w:sz w:val="21"/>
        </w:rPr>
      </w:pPr>
      <w:r>
        <w:rPr>
          <w:spacing w:val="-1"/>
          <w:sz w:val="21"/>
        </w:rPr>
        <w:t>信誉要求：见投标人须知附录一；</w:t>
      </w:r>
    </w:p>
    <w:p w14:paraId="03174807">
      <w:pPr>
        <w:pStyle w:val="82"/>
        <w:numPr>
          <w:ilvl w:val="0"/>
          <w:numId w:val="4"/>
        </w:numPr>
        <w:tabs>
          <w:tab w:val="left" w:pos="1747"/>
        </w:tabs>
        <w:spacing w:before="133" w:after="0" w:line="240" w:lineRule="auto"/>
        <w:ind w:left="1747" w:right="0" w:hanging="524"/>
        <w:jc w:val="left"/>
        <w:rPr>
          <w:sz w:val="21"/>
        </w:rPr>
      </w:pPr>
      <w:r>
        <w:rPr>
          <w:spacing w:val="-1"/>
          <w:sz w:val="21"/>
        </w:rPr>
        <w:t>项目负责人的资格要求：见投标人须知附录一；</w:t>
      </w:r>
    </w:p>
    <w:p w14:paraId="43B05DDA">
      <w:pPr>
        <w:pStyle w:val="82"/>
        <w:numPr>
          <w:ilvl w:val="0"/>
          <w:numId w:val="4"/>
        </w:numPr>
        <w:tabs>
          <w:tab w:val="left" w:pos="1747"/>
        </w:tabs>
        <w:spacing w:before="132" w:after="0" w:line="240" w:lineRule="auto"/>
        <w:ind w:left="1747" w:right="0" w:hanging="524"/>
        <w:jc w:val="left"/>
        <w:rPr>
          <w:sz w:val="21"/>
        </w:rPr>
      </w:pPr>
      <w:r>
        <w:rPr>
          <w:spacing w:val="-1"/>
          <w:sz w:val="21"/>
        </w:rPr>
        <w:t>其他主要人员要求：见投标人须知附录一；</w:t>
      </w:r>
    </w:p>
    <w:p w14:paraId="4FFEDE71">
      <w:pPr>
        <w:pStyle w:val="82"/>
        <w:numPr>
          <w:ilvl w:val="0"/>
          <w:numId w:val="4"/>
        </w:numPr>
        <w:tabs>
          <w:tab w:val="left" w:pos="1747"/>
        </w:tabs>
        <w:spacing w:before="118" w:after="0" w:line="240" w:lineRule="auto"/>
        <w:ind w:left="1747" w:right="0" w:hanging="524"/>
        <w:jc w:val="left"/>
        <w:rPr>
          <w:sz w:val="21"/>
        </w:rPr>
      </w:pPr>
      <w:r>
        <w:rPr>
          <w:spacing w:val="-1"/>
          <w:sz w:val="21"/>
        </w:rPr>
        <w:t>其他要求：见投标人须知附录一。</w:t>
      </w:r>
    </w:p>
    <w:p w14:paraId="62376630">
      <w:pPr>
        <w:pStyle w:val="82"/>
        <w:numPr>
          <w:ilvl w:val="2"/>
          <w:numId w:val="3"/>
        </w:numPr>
        <w:tabs>
          <w:tab w:val="left" w:pos="1759"/>
        </w:tabs>
        <w:spacing w:before="14" w:after="0" w:line="237" w:lineRule="auto"/>
        <w:ind w:left="802" w:right="849" w:firstLine="420"/>
        <w:jc w:val="left"/>
        <w:rPr>
          <w:sz w:val="21"/>
        </w:rPr>
      </w:pPr>
      <w:r>
        <w:rPr>
          <w:spacing w:val="-1"/>
          <w:sz w:val="21"/>
        </w:rPr>
        <w:t xml:space="preserve">投标人须知前附表规定接受联合体投标的，联合体除应符合本章第 </w:t>
      </w:r>
      <w:r>
        <w:rPr>
          <w:rFonts w:ascii="Calibri" w:eastAsia="Calibri"/>
          <w:sz w:val="21"/>
        </w:rPr>
        <w:t>1.4.1</w:t>
      </w:r>
      <w:r>
        <w:rPr>
          <w:rFonts w:ascii="Calibri" w:eastAsia="Calibri"/>
          <w:spacing w:val="40"/>
          <w:sz w:val="21"/>
        </w:rPr>
        <w:t xml:space="preserve"> </w:t>
      </w:r>
      <w:r>
        <w:rPr>
          <w:sz w:val="21"/>
        </w:rPr>
        <w:t>项和投</w:t>
      </w:r>
      <w:r>
        <w:rPr>
          <w:spacing w:val="-2"/>
          <w:sz w:val="21"/>
        </w:rPr>
        <w:t>标人须知前附表的要求外，还应遵守以下规定：</w:t>
      </w:r>
    </w:p>
    <w:p w14:paraId="047FCB09">
      <w:pPr>
        <w:pStyle w:val="82"/>
        <w:numPr>
          <w:ilvl w:val="0"/>
          <w:numId w:val="5"/>
        </w:numPr>
        <w:tabs>
          <w:tab w:val="left" w:pos="1746"/>
        </w:tabs>
        <w:spacing w:before="0" w:after="0" w:line="237" w:lineRule="auto"/>
        <w:ind w:left="802" w:right="879" w:firstLine="420"/>
        <w:jc w:val="left"/>
        <w:rPr>
          <w:sz w:val="21"/>
        </w:rPr>
      </w:pPr>
      <w:r>
        <w:rPr>
          <w:spacing w:val="-2"/>
          <w:sz w:val="21"/>
        </w:rPr>
        <w:t>联合体各方应按招标文件提供的格式签订联合体协议书，明确联合体牵头人和各方权利义务，并承诺就中标项目向招标人承担连带责任；</w:t>
      </w:r>
    </w:p>
    <w:p w14:paraId="0F5CA01E">
      <w:pPr>
        <w:pStyle w:val="82"/>
        <w:numPr>
          <w:ilvl w:val="0"/>
          <w:numId w:val="5"/>
        </w:numPr>
        <w:tabs>
          <w:tab w:val="left" w:pos="1747"/>
        </w:tabs>
        <w:spacing w:before="13" w:after="0" w:line="272" w:lineRule="exact"/>
        <w:ind w:left="1747" w:right="0" w:hanging="524"/>
        <w:jc w:val="left"/>
        <w:rPr>
          <w:sz w:val="21"/>
        </w:rPr>
      </w:pPr>
      <w:r>
        <w:rPr>
          <w:spacing w:val="-1"/>
          <w:sz w:val="21"/>
        </w:rPr>
        <w:t>由同一专业的单位组成的联合体，按照资质等级较低的单位确定资质等级；</w:t>
      </w:r>
    </w:p>
    <w:p w14:paraId="18B911DF">
      <w:pPr>
        <w:pStyle w:val="82"/>
        <w:numPr>
          <w:ilvl w:val="0"/>
          <w:numId w:val="5"/>
        </w:numPr>
        <w:tabs>
          <w:tab w:val="left" w:pos="1746"/>
        </w:tabs>
        <w:spacing w:before="0" w:after="0" w:line="237" w:lineRule="auto"/>
        <w:ind w:left="802" w:right="873" w:firstLine="420"/>
        <w:jc w:val="left"/>
        <w:rPr>
          <w:sz w:val="21"/>
        </w:rPr>
      </w:pPr>
      <w:r>
        <w:rPr>
          <w:spacing w:val="-2"/>
          <w:sz w:val="21"/>
        </w:rPr>
        <w:t>联合体各方不得再以自己名义单独或参加其他联合体在同一标段中投标，否则各相关投标均无效。</w:t>
      </w:r>
    </w:p>
    <w:p w14:paraId="31085EAA">
      <w:pPr>
        <w:pStyle w:val="82"/>
        <w:numPr>
          <w:ilvl w:val="2"/>
          <w:numId w:val="3"/>
        </w:numPr>
        <w:tabs>
          <w:tab w:val="left" w:pos="1745"/>
        </w:tabs>
        <w:spacing w:before="0" w:after="0" w:line="270" w:lineRule="exact"/>
        <w:ind w:left="1745" w:right="0" w:hanging="522"/>
        <w:jc w:val="left"/>
        <w:rPr>
          <w:sz w:val="21"/>
        </w:rPr>
      </w:pPr>
      <w:r>
        <w:rPr>
          <w:spacing w:val="-2"/>
          <w:sz w:val="21"/>
        </w:rPr>
        <w:t>投标人</w:t>
      </w:r>
      <w:r>
        <w:rPr>
          <w:rFonts w:ascii="Calibri" w:eastAsia="Calibri"/>
          <w:spacing w:val="-2"/>
          <w:sz w:val="21"/>
        </w:rPr>
        <w:t>(</w:t>
      </w:r>
      <w:r>
        <w:rPr>
          <w:spacing w:val="-2"/>
          <w:sz w:val="21"/>
        </w:rPr>
        <w:t>包括联合体各成员</w:t>
      </w:r>
      <w:r>
        <w:rPr>
          <w:rFonts w:ascii="Calibri" w:eastAsia="Calibri"/>
          <w:spacing w:val="-2"/>
          <w:sz w:val="21"/>
        </w:rPr>
        <w:t>)</w:t>
      </w:r>
      <w:r>
        <w:rPr>
          <w:spacing w:val="-3"/>
          <w:sz w:val="21"/>
        </w:rPr>
        <w:t>不得存在下列情形之一：</w:t>
      </w:r>
    </w:p>
    <w:p w14:paraId="17444B90">
      <w:pPr>
        <w:pStyle w:val="82"/>
        <w:numPr>
          <w:ilvl w:val="0"/>
          <w:numId w:val="6"/>
        </w:numPr>
        <w:tabs>
          <w:tab w:val="left" w:pos="1747"/>
        </w:tabs>
        <w:spacing w:before="0" w:after="0" w:line="270" w:lineRule="exact"/>
        <w:ind w:left="1747" w:right="0" w:hanging="524"/>
        <w:jc w:val="left"/>
        <w:rPr>
          <w:sz w:val="21"/>
        </w:rPr>
      </w:pPr>
      <w:r>
        <w:rPr>
          <w:spacing w:val="-2"/>
          <w:sz w:val="21"/>
        </w:rPr>
        <w:t>为招标人不具有独立法人资格的附属机构</w:t>
      </w:r>
      <w:r>
        <w:rPr>
          <w:rFonts w:ascii="Calibri" w:eastAsia="Calibri"/>
          <w:spacing w:val="-2"/>
          <w:sz w:val="21"/>
        </w:rPr>
        <w:t>(</w:t>
      </w:r>
      <w:r>
        <w:rPr>
          <w:spacing w:val="-2"/>
          <w:sz w:val="21"/>
        </w:rPr>
        <w:t>单位</w:t>
      </w:r>
      <w:r>
        <w:rPr>
          <w:rFonts w:ascii="Calibri" w:eastAsia="Calibri"/>
          <w:spacing w:val="-5"/>
          <w:sz w:val="21"/>
        </w:rPr>
        <w:t>)</w:t>
      </w:r>
      <w:r>
        <w:rPr>
          <w:spacing w:val="-5"/>
          <w:sz w:val="21"/>
        </w:rPr>
        <w:t>；</w:t>
      </w:r>
    </w:p>
    <w:p w14:paraId="2CDFD701">
      <w:pPr>
        <w:pStyle w:val="82"/>
        <w:numPr>
          <w:ilvl w:val="0"/>
          <w:numId w:val="6"/>
        </w:numPr>
        <w:tabs>
          <w:tab w:val="left" w:pos="1747"/>
        </w:tabs>
        <w:spacing w:before="0" w:after="0" w:line="272" w:lineRule="exact"/>
        <w:ind w:left="1747" w:right="0" w:hanging="524"/>
        <w:jc w:val="left"/>
        <w:rPr>
          <w:sz w:val="21"/>
        </w:rPr>
      </w:pPr>
      <w:r>
        <w:rPr>
          <w:spacing w:val="-1"/>
          <w:sz w:val="21"/>
        </w:rPr>
        <w:t>与招标人存在利害关系且可能影响招标公正性；</w:t>
      </w:r>
    </w:p>
    <w:p w14:paraId="257C4652">
      <w:pPr>
        <w:pStyle w:val="82"/>
        <w:numPr>
          <w:ilvl w:val="0"/>
          <w:numId w:val="6"/>
        </w:numPr>
        <w:tabs>
          <w:tab w:val="left" w:pos="1747"/>
        </w:tabs>
        <w:spacing w:before="13" w:after="0" w:line="272" w:lineRule="exact"/>
        <w:ind w:left="1747" w:right="0" w:hanging="524"/>
        <w:jc w:val="left"/>
        <w:rPr>
          <w:sz w:val="21"/>
        </w:rPr>
      </w:pPr>
      <w:r>
        <w:rPr>
          <w:spacing w:val="-1"/>
          <w:sz w:val="21"/>
        </w:rPr>
        <w:t>与本标段的其他投标人同为一个单位负责人；</w:t>
      </w:r>
    </w:p>
    <w:p w14:paraId="4F9A6D9A">
      <w:pPr>
        <w:pStyle w:val="82"/>
        <w:numPr>
          <w:ilvl w:val="0"/>
          <w:numId w:val="6"/>
        </w:numPr>
        <w:tabs>
          <w:tab w:val="left" w:pos="1747"/>
        </w:tabs>
        <w:spacing w:before="0" w:after="0" w:line="270" w:lineRule="exact"/>
        <w:ind w:left="1747" w:right="0" w:hanging="524"/>
        <w:jc w:val="left"/>
        <w:rPr>
          <w:sz w:val="21"/>
        </w:rPr>
      </w:pPr>
      <w:r>
        <w:rPr>
          <w:spacing w:val="-1"/>
          <w:sz w:val="21"/>
        </w:rPr>
        <w:t>与本标段的其他投标人存在控股、管理关系；</w:t>
      </w:r>
    </w:p>
    <w:p w14:paraId="0EA5E295">
      <w:pPr>
        <w:pStyle w:val="82"/>
        <w:numPr>
          <w:ilvl w:val="0"/>
          <w:numId w:val="6"/>
        </w:numPr>
        <w:tabs>
          <w:tab w:val="left" w:pos="1747"/>
        </w:tabs>
        <w:spacing w:before="0" w:after="0" w:line="272" w:lineRule="exact"/>
        <w:ind w:left="1747" w:right="0" w:hanging="524"/>
        <w:jc w:val="left"/>
        <w:rPr>
          <w:spacing w:val="-1"/>
          <w:sz w:val="21"/>
        </w:rPr>
      </w:pPr>
      <w:r>
        <w:rPr>
          <w:spacing w:val="-1"/>
          <w:sz w:val="21"/>
        </w:rPr>
        <w:t>为本标段的代建人；为本标段的招标代理机构；</w:t>
      </w:r>
    </w:p>
    <w:p w14:paraId="21DA0CC9">
      <w:pPr>
        <w:pStyle w:val="82"/>
        <w:numPr>
          <w:ilvl w:val="0"/>
          <w:numId w:val="6"/>
        </w:numPr>
        <w:tabs>
          <w:tab w:val="left" w:pos="1747"/>
        </w:tabs>
        <w:spacing w:before="0" w:after="0" w:line="270" w:lineRule="exact"/>
        <w:ind w:left="1747" w:right="0" w:hanging="524"/>
        <w:jc w:val="left"/>
        <w:rPr>
          <w:sz w:val="21"/>
        </w:rPr>
      </w:pPr>
      <w:r>
        <w:rPr>
          <w:spacing w:val="-1"/>
          <w:sz w:val="21"/>
        </w:rPr>
        <w:t>与本标段的代建人或招标代理机构同为一个法定代表人；</w:t>
      </w:r>
    </w:p>
    <w:p w14:paraId="7E3A1B74">
      <w:pPr>
        <w:pStyle w:val="82"/>
        <w:numPr>
          <w:ilvl w:val="0"/>
          <w:numId w:val="6"/>
        </w:numPr>
        <w:tabs>
          <w:tab w:val="left" w:pos="1747"/>
        </w:tabs>
        <w:spacing w:before="0" w:after="0" w:line="270" w:lineRule="exact"/>
        <w:ind w:left="1747" w:right="0" w:hanging="524"/>
        <w:jc w:val="left"/>
        <w:rPr>
          <w:sz w:val="21"/>
        </w:rPr>
      </w:pPr>
      <w:r>
        <w:rPr>
          <w:spacing w:val="-1"/>
          <w:sz w:val="21"/>
        </w:rPr>
        <w:t>与本标段的代建人或招标代理机构存在控股或参股关系；</w:t>
      </w:r>
    </w:p>
    <w:p w14:paraId="7F114031">
      <w:pPr>
        <w:pStyle w:val="82"/>
        <w:numPr>
          <w:ilvl w:val="0"/>
          <w:numId w:val="6"/>
        </w:numPr>
        <w:tabs>
          <w:tab w:val="left" w:pos="1747"/>
        </w:tabs>
        <w:spacing w:before="0" w:after="0" w:line="272" w:lineRule="exact"/>
        <w:ind w:left="1747" w:right="0" w:hanging="524"/>
        <w:jc w:val="left"/>
        <w:rPr>
          <w:sz w:val="21"/>
        </w:rPr>
      </w:pPr>
      <w:r>
        <w:rPr>
          <w:spacing w:val="-1"/>
          <w:sz w:val="21"/>
        </w:rPr>
        <w:t>被依法暂停或取消招标项目所在地的投标资格且处于有效期内；</w:t>
      </w:r>
    </w:p>
    <w:p w14:paraId="3516E9B9">
      <w:pPr>
        <w:pStyle w:val="82"/>
        <w:numPr>
          <w:ilvl w:val="0"/>
          <w:numId w:val="6"/>
        </w:numPr>
        <w:tabs>
          <w:tab w:val="left" w:pos="1852"/>
        </w:tabs>
        <w:spacing w:before="13" w:after="0" w:line="271" w:lineRule="exact"/>
        <w:ind w:left="1852" w:right="0" w:hanging="629"/>
        <w:jc w:val="left"/>
        <w:rPr>
          <w:sz w:val="21"/>
        </w:rPr>
      </w:pPr>
      <w:r>
        <w:rPr>
          <w:spacing w:val="-1"/>
          <w:sz w:val="21"/>
        </w:rPr>
        <w:t>被责令停产停业、暂扣或吊销许可证、暂扣或吊销执照；</w:t>
      </w:r>
    </w:p>
    <w:p w14:paraId="0787E9AC">
      <w:pPr>
        <w:pStyle w:val="82"/>
        <w:numPr>
          <w:ilvl w:val="0"/>
          <w:numId w:val="6"/>
        </w:numPr>
        <w:tabs>
          <w:tab w:val="left" w:pos="1852"/>
        </w:tabs>
        <w:spacing w:before="0" w:after="0" w:line="270" w:lineRule="exact"/>
        <w:ind w:left="1852" w:right="0" w:hanging="629"/>
        <w:jc w:val="left"/>
        <w:rPr>
          <w:sz w:val="21"/>
        </w:rPr>
      </w:pPr>
      <w:r>
        <w:rPr>
          <w:spacing w:val="-1"/>
          <w:sz w:val="21"/>
        </w:rPr>
        <w:t>进入清算程序，或被宣告破产，或其他丧失履约能力的情形；</w:t>
      </w:r>
    </w:p>
    <w:p w14:paraId="26F60131">
      <w:pPr>
        <w:pStyle w:val="82"/>
        <w:numPr>
          <w:ilvl w:val="0"/>
          <w:numId w:val="6"/>
        </w:numPr>
        <w:tabs>
          <w:tab w:val="left" w:pos="1851"/>
        </w:tabs>
        <w:spacing w:before="1" w:after="0" w:line="237" w:lineRule="auto"/>
        <w:ind w:left="802" w:right="877" w:firstLine="420"/>
        <w:jc w:val="left"/>
        <w:rPr>
          <w:sz w:val="21"/>
        </w:rPr>
      </w:pPr>
      <w:r>
        <w:rPr>
          <w:spacing w:val="-2"/>
          <w:sz w:val="21"/>
        </w:rPr>
        <w:t>在国家企业信用信息公示系统</w:t>
      </w:r>
      <w:r>
        <w:rPr>
          <w:rFonts w:ascii="Calibri" w:eastAsia="Calibri"/>
          <w:spacing w:val="-2"/>
          <w:sz w:val="21"/>
        </w:rPr>
        <w:t>(</w:t>
      </w:r>
      <w:r>
        <w:fldChar w:fldCharType="begin"/>
      </w:r>
      <w:r>
        <w:instrText xml:space="preserve"> HYPERLINK "http://www.gsxt.gov.cn/)中被列入严重违法失信企" \h </w:instrText>
      </w:r>
      <w:r>
        <w:fldChar w:fldCharType="separate"/>
      </w:r>
      <w:r>
        <w:rPr>
          <w:rFonts w:ascii="Calibri" w:eastAsia="Calibri"/>
          <w:spacing w:val="-2"/>
          <w:sz w:val="21"/>
        </w:rPr>
        <w:t>http://www.gsxt.gov.cn/)</w:t>
      </w:r>
      <w:r>
        <w:rPr>
          <w:spacing w:val="-2"/>
          <w:sz w:val="21"/>
        </w:rPr>
        <w:t>中被列入严重违法失信企</w:t>
      </w:r>
      <w:r>
        <w:rPr>
          <w:spacing w:val="-2"/>
          <w:sz w:val="21"/>
        </w:rPr>
        <w:fldChar w:fldCharType="end"/>
      </w:r>
      <w:r>
        <w:rPr>
          <w:spacing w:val="-4"/>
          <w:sz w:val="21"/>
        </w:rPr>
        <w:t>业名单；</w:t>
      </w:r>
    </w:p>
    <w:p w14:paraId="7F7B8A85">
      <w:pPr>
        <w:pStyle w:val="82"/>
        <w:numPr>
          <w:ilvl w:val="0"/>
          <w:numId w:val="6"/>
        </w:numPr>
        <w:tabs>
          <w:tab w:val="left" w:pos="1897"/>
        </w:tabs>
        <w:spacing w:before="117" w:after="0" w:line="240" w:lineRule="auto"/>
        <w:ind w:left="1897" w:right="0" w:hanging="674"/>
        <w:jc w:val="left"/>
        <w:rPr>
          <w:sz w:val="21"/>
        </w:rPr>
      </w:pPr>
      <w:r>
        <w:rPr>
          <w:spacing w:val="12"/>
          <w:sz w:val="21"/>
        </w:rPr>
        <w:t>在</w:t>
      </w:r>
      <w:r>
        <w:rPr>
          <w:rFonts w:ascii="Calibri" w:hAnsi="Calibri" w:eastAsia="Calibri"/>
          <w:spacing w:val="12"/>
          <w:sz w:val="21"/>
        </w:rPr>
        <w:t>“</w:t>
      </w:r>
      <w:r>
        <w:rPr>
          <w:spacing w:val="12"/>
          <w:sz w:val="21"/>
        </w:rPr>
        <w:t>信用中国</w:t>
      </w:r>
      <w:r>
        <w:rPr>
          <w:rFonts w:ascii="Calibri" w:hAnsi="Calibri" w:eastAsia="Calibri"/>
          <w:spacing w:val="12"/>
          <w:sz w:val="21"/>
        </w:rPr>
        <w:t>”</w:t>
      </w:r>
      <w:r>
        <w:rPr>
          <w:spacing w:val="12"/>
          <w:sz w:val="21"/>
        </w:rPr>
        <w:t>网站</w:t>
      </w:r>
      <w:r>
        <w:rPr>
          <w:rFonts w:ascii="Calibri" w:hAnsi="Calibri" w:eastAsia="Calibri"/>
          <w:sz w:val="21"/>
        </w:rPr>
        <w:t>(</w:t>
      </w:r>
      <w:r>
        <w:fldChar w:fldCharType="begin"/>
      </w:r>
      <w:r>
        <w:instrText xml:space="preserve"> HYPERLINK "http://www.creditchina.gov.cn/)或" \h </w:instrText>
      </w:r>
      <w:r>
        <w:fldChar w:fldCharType="separate"/>
      </w:r>
      <w:r>
        <w:rPr>
          <w:rFonts w:ascii="Calibri" w:hAnsi="Calibri" w:eastAsia="Calibri"/>
          <w:sz w:val="21"/>
        </w:rPr>
        <w:t>http://www.creditchina.gov.cn/)</w:t>
      </w:r>
      <w:r>
        <w:rPr>
          <w:spacing w:val="12"/>
          <w:sz w:val="21"/>
        </w:rPr>
        <w:t>或“中国执行信息公开</w:t>
      </w:r>
      <w:r>
        <w:rPr>
          <w:spacing w:val="12"/>
          <w:sz w:val="21"/>
        </w:rPr>
        <w:fldChar w:fldCharType="end"/>
      </w:r>
      <w:r>
        <w:rPr>
          <w:spacing w:val="8"/>
          <w:sz w:val="21"/>
        </w:rPr>
        <w:t>网”</w:t>
      </w:r>
    </w:p>
    <w:p w14:paraId="1A13E25C">
      <w:pPr>
        <w:spacing w:before="133"/>
        <w:ind w:left="802" w:right="3354" w:firstLine="0"/>
        <w:jc w:val="center"/>
        <w:rPr>
          <w:sz w:val="21"/>
        </w:rPr>
      </w:pPr>
      <w:r>
        <w:rPr>
          <w:spacing w:val="-2"/>
          <w:sz w:val="21"/>
        </w:rPr>
        <w:t>（</w:t>
      </w:r>
      <w:r>
        <w:fldChar w:fldCharType="begin"/>
      </w:r>
      <w:r>
        <w:instrText xml:space="preserve"> HYPERLINK "http://zxgk.court.gov.cn/shixin/" \h </w:instrText>
      </w:r>
      <w:r>
        <w:fldChar w:fldCharType="separate"/>
      </w:r>
      <w:r>
        <w:rPr>
          <w:rFonts w:ascii="Calibri" w:eastAsia="Calibri"/>
          <w:spacing w:val="-2"/>
          <w:sz w:val="21"/>
        </w:rPr>
        <w:t>http://zxgk.court.gov.cn/shixin/</w:t>
      </w:r>
      <w:r>
        <w:rPr>
          <w:rFonts w:ascii="Calibri" w:eastAsia="Calibri"/>
          <w:spacing w:val="-2"/>
          <w:sz w:val="21"/>
        </w:rPr>
        <w:fldChar w:fldCharType="end"/>
      </w:r>
      <w:r>
        <w:rPr>
          <w:spacing w:val="-2"/>
          <w:sz w:val="21"/>
        </w:rPr>
        <w:t>）</w:t>
      </w:r>
      <w:r>
        <w:rPr>
          <w:spacing w:val="-3"/>
          <w:sz w:val="21"/>
        </w:rPr>
        <w:t>中被列入失信被执行人名单；</w:t>
      </w:r>
    </w:p>
    <w:p w14:paraId="598B2E6C">
      <w:pPr>
        <w:pStyle w:val="82"/>
        <w:numPr>
          <w:ilvl w:val="0"/>
          <w:numId w:val="6"/>
        </w:numPr>
        <w:tabs>
          <w:tab w:val="left" w:pos="1806"/>
        </w:tabs>
        <w:spacing w:before="14" w:after="0" w:line="237" w:lineRule="auto"/>
        <w:ind w:left="802" w:right="860" w:firstLine="420"/>
        <w:jc w:val="left"/>
        <w:rPr>
          <w:sz w:val="21"/>
        </w:rPr>
      </w:pPr>
      <w:r>
        <w:rPr>
          <w:spacing w:val="-2"/>
          <w:sz w:val="21"/>
        </w:rPr>
        <w:t>在近三年内投标人或其法定代表人、拟委任的项目负责人被人民法院判决为行贿</w:t>
      </w:r>
      <w:r>
        <w:rPr>
          <w:spacing w:val="-4"/>
          <w:sz w:val="21"/>
        </w:rPr>
        <w:t>罪的；</w:t>
      </w:r>
    </w:p>
    <w:p w14:paraId="591D272F">
      <w:pPr>
        <w:pStyle w:val="82"/>
        <w:numPr>
          <w:ilvl w:val="0"/>
          <w:numId w:val="6"/>
        </w:numPr>
        <w:tabs>
          <w:tab w:val="left" w:pos="1852"/>
        </w:tabs>
        <w:spacing w:before="0" w:after="0" w:line="271" w:lineRule="exact"/>
        <w:ind w:left="1852" w:right="0" w:hanging="629"/>
        <w:jc w:val="left"/>
        <w:rPr>
          <w:sz w:val="21"/>
        </w:rPr>
      </w:pPr>
      <w:r>
        <w:rPr>
          <w:spacing w:val="-1"/>
          <w:sz w:val="21"/>
        </w:rPr>
        <w:t>法律法规或投标人须知前附表规定的其他情形。</w:t>
      </w:r>
    </w:p>
    <w:p w14:paraId="2BABAD4E">
      <w:pPr>
        <w:pStyle w:val="82"/>
        <w:numPr>
          <w:ilvl w:val="1"/>
          <w:numId w:val="3"/>
        </w:numPr>
        <w:tabs>
          <w:tab w:val="left" w:pos="1535"/>
        </w:tabs>
        <w:spacing w:before="162" w:after="0" w:line="240" w:lineRule="auto"/>
        <w:ind w:left="1535" w:right="0" w:hanging="448"/>
        <w:jc w:val="left"/>
        <w:rPr>
          <w:rFonts w:ascii="Arial" w:eastAsia="Arial"/>
          <w:sz w:val="24"/>
        </w:rPr>
      </w:pPr>
      <w:bookmarkStart w:id="176" w:name="1.5 费用承担"/>
      <w:bookmarkEnd w:id="176"/>
      <w:r>
        <w:rPr>
          <w:spacing w:val="-3"/>
          <w:sz w:val="24"/>
        </w:rPr>
        <w:t>费用承担</w:t>
      </w:r>
    </w:p>
    <w:p w14:paraId="591B0AC9">
      <w:pPr>
        <w:spacing w:before="139"/>
        <w:ind w:left="1223" w:right="0" w:firstLine="0"/>
        <w:jc w:val="left"/>
        <w:rPr>
          <w:sz w:val="21"/>
        </w:rPr>
      </w:pPr>
      <w:r>
        <w:rPr>
          <w:spacing w:val="-1"/>
          <w:sz w:val="21"/>
        </w:rPr>
        <w:t>投标人准备和参加投标活动发生的费用自理。</w:t>
      </w:r>
    </w:p>
    <w:p w14:paraId="140E663F">
      <w:pPr>
        <w:pStyle w:val="82"/>
        <w:numPr>
          <w:ilvl w:val="1"/>
          <w:numId w:val="3"/>
        </w:numPr>
        <w:tabs>
          <w:tab w:val="left" w:pos="1535"/>
        </w:tabs>
        <w:spacing w:before="177" w:after="0" w:line="240" w:lineRule="auto"/>
        <w:ind w:left="1535" w:right="0" w:hanging="448"/>
        <w:jc w:val="left"/>
        <w:rPr>
          <w:rFonts w:ascii="Arial" w:eastAsia="Arial"/>
          <w:sz w:val="24"/>
        </w:rPr>
      </w:pPr>
      <w:bookmarkStart w:id="177" w:name="1.6 保密"/>
      <w:bookmarkEnd w:id="177"/>
      <w:r>
        <w:rPr>
          <w:spacing w:val="-5"/>
          <w:sz w:val="24"/>
        </w:rPr>
        <w:t>保密</w:t>
      </w:r>
    </w:p>
    <w:p w14:paraId="5A8FC36A">
      <w:pPr>
        <w:spacing w:before="139" w:line="357" w:lineRule="auto"/>
        <w:ind w:left="802" w:right="871" w:firstLine="420"/>
        <w:jc w:val="left"/>
        <w:rPr>
          <w:sz w:val="21"/>
        </w:rPr>
      </w:pPr>
      <w:r>
        <w:rPr>
          <w:spacing w:val="-5"/>
          <w:sz w:val="21"/>
        </w:rPr>
        <w:t>参与招标投标活动的各方应对招标文件和投标文件中的商业和技术等秘密保密，否则应</w:t>
      </w:r>
      <w:r>
        <w:rPr>
          <w:spacing w:val="-2"/>
          <w:sz w:val="21"/>
        </w:rPr>
        <w:t>承担相应的法律责任。</w:t>
      </w:r>
    </w:p>
    <w:p w14:paraId="788AACBE">
      <w:pPr>
        <w:pStyle w:val="82"/>
        <w:numPr>
          <w:ilvl w:val="1"/>
          <w:numId w:val="3"/>
        </w:numPr>
        <w:tabs>
          <w:tab w:val="left" w:pos="1535"/>
        </w:tabs>
        <w:spacing w:before="42" w:after="0" w:line="240" w:lineRule="auto"/>
        <w:ind w:left="1535" w:right="0" w:hanging="448"/>
        <w:jc w:val="left"/>
        <w:rPr>
          <w:rFonts w:ascii="Arial" w:eastAsia="Arial"/>
          <w:sz w:val="24"/>
        </w:rPr>
      </w:pPr>
      <w:bookmarkStart w:id="178" w:name="1.7 语言文字"/>
      <w:bookmarkEnd w:id="178"/>
      <w:r>
        <w:rPr>
          <w:spacing w:val="-3"/>
          <w:sz w:val="24"/>
        </w:rPr>
        <w:t>语言文字</w:t>
      </w:r>
    </w:p>
    <w:p w14:paraId="6C985729">
      <w:pPr>
        <w:spacing w:before="138"/>
        <w:ind w:left="1223" w:right="0" w:firstLine="0"/>
        <w:jc w:val="left"/>
        <w:rPr>
          <w:sz w:val="21"/>
        </w:rPr>
      </w:pPr>
      <w:r>
        <w:rPr>
          <w:spacing w:val="-3"/>
          <w:sz w:val="21"/>
        </w:rPr>
        <w:t>招标投标文件使用的语言文字为中文。专用术语使用外文的，应附有中文注释。</w:t>
      </w:r>
    </w:p>
    <w:p w14:paraId="08C3A717">
      <w:pPr>
        <w:pStyle w:val="82"/>
        <w:numPr>
          <w:ilvl w:val="1"/>
          <w:numId w:val="3"/>
        </w:numPr>
        <w:tabs>
          <w:tab w:val="left" w:pos="1535"/>
        </w:tabs>
        <w:spacing w:before="177" w:after="0" w:line="240" w:lineRule="auto"/>
        <w:ind w:left="1535" w:right="0" w:hanging="448"/>
        <w:jc w:val="left"/>
        <w:rPr>
          <w:rFonts w:ascii="Arial" w:eastAsia="Arial"/>
          <w:sz w:val="24"/>
        </w:rPr>
      </w:pPr>
      <w:bookmarkStart w:id="179" w:name="1.8 计量单位"/>
      <w:bookmarkEnd w:id="179"/>
      <w:r>
        <w:rPr>
          <w:spacing w:val="-3"/>
          <w:sz w:val="24"/>
        </w:rPr>
        <w:t>计量单位</w:t>
      </w:r>
    </w:p>
    <w:p w14:paraId="5C7B0717">
      <w:pPr>
        <w:spacing w:before="139"/>
        <w:ind w:left="1223" w:right="0" w:firstLine="0"/>
        <w:jc w:val="left"/>
        <w:rPr>
          <w:sz w:val="21"/>
        </w:rPr>
      </w:pPr>
      <w:r>
        <w:rPr>
          <w:spacing w:val="-1"/>
          <w:sz w:val="21"/>
        </w:rPr>
        <w:t>所有计量均采用中华人民共和国法定计量单位。</w:t>
      </w:r>
    </w:p>
    <w:p w14:paraId="02EE6004">
      <w:pPr>
        <w:pStyle w:val="82"/>
        <w:numPr>
          <w:ilvl w:val="1"/>
          <w:numId w:val="3"/>
        </w:numPr>
        <w:tabs>
          <w:tab w:val="left" w:pos="1535"/>
        </w:tabs>
        <w:spacing w:before="177" w:after="0" w:line="240" w:lineRule="auto"/>
        <w:ind w:left="1535" w:right="0" w:hanging="448"/>
        <w:jc w:val="left"/>
        <w:rPr>
          <w:rFonts w:ascii="Arial" w:eastAsia="Arial"/>
          <w:sz w:val="24"/>
        </w:rPr>
      </w:pPr>
      <w:bookmarkStart w:id="180" w:name="1.9 踏勘现场"/>
      <w:bookmarkEnd w:id="180"/>
      <w:r>
        <w:rPr>
          <w:spacing w:val="-3"/>
          <w:sz w:val="24"/>
        </w:rPr>
        <w:t>踏勘现场</w:t>
      </w:r>
    </w:p>
    <w:p w14:paraId="01D69833">
      <w:pPr>
        <w:pStyle w:val="82"/>
        <w:numPr>
          <w:ilvl w:val="2"/>
          <w:numId w:val="3"/>
        </w:numPr>
        <w:tabs>
          <w:tab w:val="left" w:pos="1713"/>
        </w:tabs>
        <w:spacing w:before="139" w:after="0" w:line="350" w:lineRule="auto"/>
        <w:ind w:left="802" w:right="751" w:firstLine="420"/>
        <w:jc w:val="left"/>
        <w:rPr>
          <w:sz w:val="21"/>
        </w:rPr>
      </w:pPr>
      <w:r>
        <w:rPr>
          <w:spacing w:val="-6"/>
          <w:sz w:val="21"/>
        </w:rPr>
        <w:t>投标人须知前附表规定组织踏勘现场的，招标人按投标人须知前附表规定的时间、</w:t>
      </w:r>
      <w:r>
        <w:rPr>
          <w:spacing w:val="-2"/>
          <w:sz w:val="21"/>
        </w:rPr>
        <w:t>地点组织投标人踏勘项目现场。部分投标人未按时参加踏勘现场的，不影响踏勘现场的正常进行。招标人不得组织单个或部分投标人踏勘项目现场。</w:t>
      </w:r>
    </w:p>
    <w:p w14:paraId="47938651">
      <w:pPr>
        <w:pStyle w:val="82"/>
        <w:numPr>
          <w:ilvl w:val="2"/>
          <w:numId w:val="3"/>
        </w:numPr>
        <w:tabs>
          <w:tab w:val="left" w:pos="1745"/>
        </w:tabs>
        <w:spacing w:before="5" w:after="0" w:line="240" w:lineRule="auto"/>
        <w:ind w:left="1745" w:right="0" w:hanging="522"/>
        <w:jc w:val="left"/>
        <w:rPr>
          <w:sz w:val="21"/>
        </w:rPr>
      </w:pPr>
      <w:r>
        <w:rPr>
          <w:spacing w:val="-1"/>
          <w:sz w:val="21"/>
        </w:rPr>
        <w:t>投标人踏勘现场发生的费用自理。</w:t>
      </w:r>
    </w:p>
    <w:p w14:paraId="24CA49FE">
      <w:pPr>
        <w:pStyle w:val="82"/>
        <w:numPr>
          <w:ilvl w:val="2"/>
          <w:numId w:val="3"/>
        </w:numPr>
        <w:tabs>
          <w:tab w:val="left" w:pos="1759"/>
        </w:tabs>
        <w:spacing w:before="132" w:after="0" w:line="343" w:lineRule="auto"/>
        <w:ind w:left="802" w:right="877" w:firstLine="420"/>
        <w:jc w:val="left"/>
        <w:rPr>
          <w:sz w:val="21"/>
        </w:rPr>
      </w:pPr>
      <w:r>
        <w:rPr>
          <w:sz w:val="21"/>
        </w:rPr>
        <w:t>除招标人的原因外，投标人自行负责在踏勘现场中所发生的人员伤亡和财产损</w:t>
      </w:r>
      <w:r>
        <w:rPr>
          <w:spacing w:val="-6"/>
          <w:sz w:val="21"/>
        </w:rPr>
        <w:t>失。</w:t>
      </w:r>
    </w:p>
    <w:p w14:paraId="0EF76BFC">
      <w:pPr>
        <w:pStyle w:val="82"/>
        <w:numPr>
          <w:ilvl w:val="2"/>
          <w:numId w:val="3"/>
        </w:numPr>
        <w:tabs>
          <w:tab w:val="left" w:pos="1759"/>
        </w:tabs>
        <w:spacing w:before="16" w:after="0" w:line="357" w:lineRule="auto"/>
        <w:ind w:left="802" w:right="859" w:firstLine="420"/>
        <w:jc w:val="left"/>
        <w:rPr>
          <w:sz w:val="21"/>
        </w:rPr>
      </w:pPr>
      <w:r>
        <w:rPr>
          <w:spacing w:val="-2"/>
          <w:sz w:val="21"/>
        </w:rPr>
        <w:t>招标人在踏勘现场中介绍的工程场地和相关的周边环境情况，供投标人在编制投标文件时参考，招标人不对投标人据此作出的判断和决策负责。</w:t>
      </w:r>
    </w:p>
    <w:p w14:paraId="78CB59AC">
      <w:pPr>
        <w:pStyle w:val="82"/>
        <w:numPr>
          <w:ilvl w:val="1"/>
          <w:numId w:val="3"/>
        </w:numPr>
        <w:tabs>
          <w:tab w:val="left" w:pos="1671"/>
        </w:tabs>
        <w:spacing w:before="26" w:after="0" w:line="240" w:lineRule="auto"/>
        <w:ind w:left="1671" w:right="0" w:hanging="584"/>
        <w:jc w:val="left"/>
        <w:rPr>
          <w:rFonts w:ascii="Arial" w:eastAsia="Arial"/>
          <w:sz w:val="24"/>
        </w:rPr>
      </w:pPr>
      <w:bookmarkStart w:id="181" w:name="1.10 投标预备会"/>
      <w:bookmarkEnd w:id="181"/>
      <w:r>
        <w:rPr>
          <w:spacing w:val="-2"/>
          <w:sz w:val="24"/>
        </w:rPr>
        <w:t>投标预备会</w:t>
      </w:r>
    </w:p>
    <w:p w14:paraId="12CDA7D9">
      <w:pPr>
        <w:pStyle w:val="82"/>
        <w:numPr>
          <w:ilvl w:val="2"/>
          <w:numId w:val="3"/>
        </w:numPr>
        <w:tabs>
          <w:tab w:val="left" w:pos="1818"/>
        </w:tabs>
        <w:spacing w:before="154" w:after="0" w:line="343" w:lineRule="auto"/>
        <w:ind w:left="802" w:right="857" w:firstLine="420"/>
        <w:jc w:val="left"/>
        <w:rPr>
          <w:sz w:val="21"/>
        </w:rPr>
      </w:pPr>
      <w:r>
        <w:rPr>
          <w:spacing w:val="-6"/>
          <w:sz w:val="21"/>
        </w:rPr>
        <w:t>投标人须知前附表规定召开投标预备会的，招标人按投标人须知前附表规定的时</w:t>
      </w:r>
      <w:r>
        <w:rPr>
          <w:spacing w:val="-2"/>
          <w:sz w:val="21"/>
        </w:rPr>
        <w:t>间和地点召开投标预备会，澄清投标人提出的问题。</w:t>
      </w:r>
    </w:p>
    <w:p w14:paraId="10ADBA2D">
      <w:pPr>
        <w:spacing w:before="52"/>
        <w:ind w:left="802" w:right="0" w:firstLine="0"/>
        <w:jc w:val="left"/>
        <w:rPr>
          <w:sz w:val="21"/>
        </w:rPr>
      </w:pPr>
      <w:r>
        <w:rPr>
          <w:spacing w:val="-1"/>
          <w:sz w:val="21"/>
        </w:rPr>
        <w:t xml:space="preserve">在投标人须知前附表规定的时间前，投标人应使用 </w:t>
      </w:r>
      <w:r>
        <w:rPr>
          <w:rFonts w:ascii="Calibri" w:hAnsi="Calibri" w:eastAsia="Calibri"/>
          <w:sz w:val="21"/>
        </w:rPr>
        <w:t>CA</w:t>
      </w:r>
      <w:r>
        <w:rPr>
          <w:rFonts w:ascii="Calibri" w:hAnsi="Calibri" w:eastAsia="Calibri"/>
          <w:spacing w:val="40"/>
          <w:sz w:val="21"/>
        </w:rPr>
        <w:t xml:space="preserve"> </w:t>
      </w:r>
      <w:r>
        <w:rPr>
          <w:sz w:val="21"/>
        </w:rPr>
        <w:t>数字证书登录</w:t>
      </w:r>
      <w:r>
        <w:rPr>
          <w:rFonts w:ascii="Calibri" w:hAnsi="Calibri" w:eastAsia="Calibri"/>
          <w:sz w:val="21"/>
        </w:rPr>
        <w:t>“</w:t>
      </w:r>
      <w:r>
        <w:rPr>
          <w:sz w:val="21"/>
        </w:rPr>
        <w:t>电子交易平台</w:t>
      </w:r>
      <w:r>
        <w:rPr>
          <w:rFonts w:ascii="Calibri" w:hAnsi="Calibri" w:eastAsia="Calibri"/>
          <w:sz w:val="21"/>
        </w:rPr>
        <w:t>”</w:t>
      </w:r>
      <w:r>
        <w:rPr>
          <w:sz w:val="21"/>
        </w:rPr>
        <w:t>，在</w:t>
      </w:r>
      <w:r>
        <w:rPr>
          <w:rFonts w:ascii="Calibri" w:hAnsi="Calibri" w:eastAsia="Calibri"/>
          <w:sz w:val="21"/>
        </w:rPr>
        <w:t>“</w:t>
      </w:r>
      <w:r>
        <w:rPr>
          <w:sz w:val="21"/>
        </w:rPr>
        <w:t>投标答疑</w:t>
      </w:r>
      <w:r>
        <w:rPr>
          <w:rFonts w:ascii="Calibri" w:hAnsi="Calibri" w:eastAsia="Calibri"/>
          <w:sz w:val="21"/>
        </w:rPr>
        <w:t>”</w:t>
      </w:r>
      <w:r>
        <w:rPr>
          <w:sz w:val="21"/>
        </w:rPr>
        <w:t>菜单以书面形式将提出的问题送达招标人，以便招标人在会议期间澄</w:t>
      </w:r>
      <w:r>
        <w:rPr>
          <w:spacing w:val="-5"/>
          <w:sz w:val="21"/>
        </w:rPr>
        <w:t>清。</w:t>
      </w:r>
    </w:p>
    <w:p w14:paraId="22F568A8">
      <w:pPr>
        <w:pStyle w:val="82"/>
        <w:numPr>
          <w:ilvl w:val="2"/>
          <w:numId w:val="3"/>
        </w:numPr>
        <w:tabs>
          <w:tab w:val="left" w:pos="1863"/>
        </w:tabs>
        <w:spacing w:before="133" w:after="0" w:line="343" w:lineRule="auto"/>
        <w:ind w:left="802" w:right="864" w:firstLine="420"/>
        <w:jc w:val="left"/>
        <w:rPr>
          <w:sz w:val="21"/>
        </w:rPr>
      </w:pPr>
      <w:r>
        <w:rPr>
          <w:spacing w:val="-4"/>
          <w:sz w:val="21"/>
        </w:rPr>
        <w:t xml:space="preserve">投标预备会后，招标人将对投标人所提问题的澄清，以本章第 </w:t>
      </w:r>
      <w:r>
        <w:rPr>
          <w:rFonts w:ascii="Calibri" w:eastAsia="Calibri"/>
          <w:spacing w:val="-2"/>
          <w:sz w:val="21"/>
        </w:rPr>
        <w:t>2.2</w:t>
      </w:r>
      <w:r>
        <w:rPr>
          <w:rFonts w:ascii="Calibri" w:eastAsia="Calibri"/>
          <w:spacing w:val="-6"/>
          <w:sz w:val="21"/>
        </w:rPr>
        <w:t xml:space="preserve"> </w:t>
      </w:r>
      <w:r>
        <w:rPr>
          <w:spacing w:val="-2"/>
          <w:sz w:val="21"/>
        </w:rPr>
        <w:t>款规定的形式通知所有下载招标文件的投标人。该澄清内容为招标文件的组成部分。</w:t>
      </w:r>
    </w:p>
    <w:p w14:paraId="22A2EED2">
      <w:pPr>
        <w:pStyle w:val="82"/>
        <w:numPr>
          <w:ilvl w:val="1"/>
          <w:numId w:val="3"/>
        </w:numPr>
        <w:tabs>
          <w:tab w:val="left" w:pos="1656"/>
        </w:tabs>
        <w:spacing w:before="59" w:after="0" w:line="240" w:lineRule="auto"/>
        <w:ind w:left="1656" w:right="0" w:hanging="569"/>
        <w:jc w:val="both"/>
        <w:rPr>
          <w:rFonts w:ascii="Arial" w:eastAsia="Arial"/>
          <w:sz w:val="24"/>
        </w:rPr>
      </w:pPr>
      <w:bookmarkStart w:id="182" w:name="1.11 分包"/>
      <w:bookmarkEnd w:id="182"/>
      <w:r>
        <w:rPr>
          <w:spacing w:val="-5"/>
          <w:sz w:val="24"/>
        </w:rPr>
        <w:t>分包</w:t>
      </w:r>
    </w:p>
    <w:p w14:paraId="06DC6600">
      <w:pPr>
        <w:pStyle w:val="82"/>
        <w:numPr>
          <w:ilvl w:val="2"/>
          <w:numId w:val="3"/>
        </w:numPr>
        <w:tabs>
          <w:tab w:val="left" w:pos="1863"/>
        </w:tabs>
        <w:spacing w:before="139" w:after="0" w:line="355" w:lineRule="auto"/>
        <w:ind w:left="802" w:right="856" w:firstLine="420"/>
        <w:jc w:val="both"/>
        <w:rPr>
          <w:sz w:val="21"/>
        </w:rPr>
      </w:pPr>
      <w:r>
        <w:rPr>
          <w:sz w:val="21"/>
        </w:rPr>
        <w:t>投标人拟在中标后将中标项目的非主体、非关键性的工作进行分包的，应符合</w:t>
      </w:r>
      <w:r>
        <w:rPr>
          <w:spacing w:val="-2"/>
          <w:sz w:val="21"/>
        </w:rPr>
        <w:t>投标人须知前附表规定的分包内容、分包金额和资质要求等限制性条件，除投标人须知前附表规定的非主体、非关键性的工作外，其他工作不得分包。</w:t>
      </w:r>
    </w:p>
    <w:p w14:paraId="4D60C6B3">
      <w:pPr>
        <w:pStyle w:val="82"/>
        <w:numPr>
          <w:ilvl w:val="2"/>
          <w:numId w:val="3"/>
        </w:numPr>
        <w:tabs>
          <w:tab w:val="left" w:pos="1863"/>
        </w:tabs>
        <w:spacing w:before="0" w:after="0" w:line="355" w:lineRule="auto"/>
        <w:ind w:left="802" w:right="874" w:firstLine="420"/>
        <w:jc w:val="both"/>
        <w:rPr>
          <w:sz w:val="21"/>
        </w:rPr>
      </w:pPr>
      <w:r>
        <w:rPr>
          <w:sz w:val="21"/>
        </w:rPr>
        <w:t>中标人不得向他人转让中标项目，接受分包的人不得再次分包。中标人应就分</w:t>
      </w:r>
      <w:r>
        <w:rPr>
          <w:spacing w:val="-2"/>
          <w:sz w:val="21"/>
        </w:rPr>
        <w:t>包项目向招标人负责，接受分包的人就分包项目承担连带责任。</w:t>
      </w:r>
    </w:p>
    <w:p w14:paraId="64AA7E9C">
      <w:pPr>
        <w:pStyle w:val="82"/>
        <w:numPr>
          <w:ilvl w:val="1"/>
          <w:numId w:val="3"/>
        </w:numPr>
        <w:tabs>
          <w:tab w:val="left" w:pos="1671"/>
        </w:tabs>
        <w:spacing w:before="36" w:after="0" w:line="240" w:lineRule="auto"/>
        <w:ind w:left="1671" w:right="0" w:hanging="584"/>
        <w:jc w:val="both"/>
        <w:rPr>
          <w:rFonts w:ascii="Arial" w:eastAsia="Arial"/>
          <w:sz w:val="24"/>
        </w:rPr>
      </w:pPr>
      <w:bookmarkStart w:id="183" w:name="1.12 响应和偏差"/>
      <w:bookmarkEnd w:id="183"/>
      <w:r>
        <w:rPr>
          <w:spacing w:val="-2"/>
          <w:sz w:val="24"/>
        </w:rPr>
        <w:t>响应和偏差</w:t>
      </w:r>
    </w:p>
    <w:p w14:paraId="78B3AFD3">
      <w:pPr>
        <w:pStyle w:val="82"/>
        <w:numPr>
          <w:ilvl w:val="2"/>
          <w:numId w:val="3"/>
        </w:numPr>
        <w:tabs>
          <w:tab w:val="left" w:pos="1863"/>
        </w:tabs>
        <w:spacing w:before="139" w:after="0" w:line="357" w:lineRule="auto"/>
        <w:ind w:left="802" w:right="879" w:firstLine="420"/>
        <w:jc w:val="left"/>
        <w:rPr>
          <w:sz w:val="21"/>
        </w:rPr>
      </w:pPr>
      <w:r>
        <w:rPr>
          <w:sz w:val="21"/>
        </w:rPr>
        <w:t>投标文件偏差招标文件某些要求，视为投标文件存在偏差。偏差包括重大偏差</w:t>
      </w:r>
      <w:r>
        <w:rPr>
          <w:spacing w:val="-2"/>
          <w:sz w:val="21"/>
        </w:rPr>
        <w:t>和细微偏差。</w:t>
      </w:r>
    </w:p>
    <w:p w14:paraId="6D4CF6A4">
      <w:pPr>
        <w:pStyle w:val="82"/>
        <w:numPr>
          <w:ilvl w:val="2"/>
          <w:numId w:val="3"/>
        </w:numPr>
        <w:tabs>
          <w:tab w:val="left" w:pos="1864"/>
        </w:tabs>
        <w:spacing w:before="0" w:after="0" w:line="255" w:lineRule="exact"/>
        <w:ind w:left="1864" w:right="0" w:hanging="641"/>
        <w:jc w:val="left"/>
        <w:rPr>
          <w:sz w:val="21"/>
        </w:rPr>
      </w:pPr>
      <w:r>
        <w:rPr>
          <w:spacing w:val="-1"/>
          <w:sz w:val="21"/>
        </w:rPr>
        <w:t>投标文件应对招标文件的实质性要求和条件作出满足性或更有利于招标人的响</w:t>
      </w:r>
    </w:p>
    <w:p w14:paraId="5574D723">
      <w:pPr>
        <w:spacing w:before="132"/>
        <w:ind w:left="802" w:right="0" w:firstLine="0"/>
        <w:jc w:val="left"/>
        <w:rPr>
          <w:sz w:val="21"/>
        </w:rPr>
      </w:pPr>
      <w:r>
        <w:rPr>
          <w:spacing w:val="-1"/>
          <w:sz w:val="21"/>
        </w:rPr>
        <w:t>应，否则，视为投标文件存在重大偏差，投标人的投标将被否决。</w:t>
      </w:r>
    </w:p>
    <w:p w14:paraId="076D4CA5">
      <w:pPr>
        <w:spacing w:before="132"/>
        <w:ind w:left="1178" w:right="0" w:firstLine="0"/>
        <w:jc w:val="left"/>
        <w:rPr>
          <w:sz w:val="21"/>
        </w:rPr>
      </w:pPr>
      <w:r>
        <w:rPr>
          <w:sz w:val="21"/>
        </w:rPr>
        <w:t>投标文件存在第三章</w:t>
      </w:r>
      <w:r>
        <w:rPr>
          <w:rFonts w:ascii="Calibri" w:hAnsi="Calibri" w:eastAsia="Calibri"/>
          <w:sz w:val="21"/>
        </w:rPr>
        <w:t>“</w:t>
      </w:r>
      <w:r>
        <w:rPr>
          <w:sz w:val="21"/>
        </w:rPr>
        <w:t>评标办法</w:t>
      </w:r>
      <w:r>
        <w:rPr>
          <w:rFonts w:ascii="Calibri" w:hAnsi="Calibri" w:eastAsia="Calibri"/>
          <w:sz w:val="21"/>
        </w:rPr>
        <w:t>”</w:t>
      </w:r>
      <w:r>
        <w:rPr>
          <w:spacing w:val="-1"/>
          <w:sz w:val="21"/>
        </w:rPr>
        <w:t>中所列任一否决投标情形的，均属于存在重大偏差。</w:t>
      </w:r>
    </w:p>
    <w:p w14:paraId="4E01DDF0">
      <w:pPr>
        <w:pStyle w:val="82"/>
        <w:numPr>
          <w:ilvl w:val="2"/>
          <w:numId w:val="3"/>
        </w:numPr>
        <w:tabs>
          <w:tab w:val="left" w:pos="1863"/>
        </w:tabs>
        <w:spacing w:before="7" w:after="0" w:line="406" w:lineRule="exact"/>
        <w:ind w:left="802" w:right="878" w:firstLine="420"/>
        <w:jc w:val="left"/>
        <w:rPr>
          <w:sz w:val="21"/>
        </w:rPr>
      </w:pPr>
      <w:r>
        <w:rPr>
          <w:sz w:val="21"/>
        </w:rPr>
        <w:t>投标人须知前附表允许投标文件偏差招标文件某些要求的，偏差应当符合招标</w:t>
      </w:r>
      <w:r>
        <w:rPr>
          <w:spacing w:val="-2"/>
          <w:sz w:val="21"/>
        </w:rPr>
        <w:t>文件规定的偏差范围和幅度。</w:t>
      </w:r>
    </w:p>
    <w:p w14:paraId="3B613290">
      <w:pPr>
        <w:pStyle w:val="82"/>
        <w:numPr>
          <w:ilvl w:val="0"/>
          <w:numId w:val="3"/>
        </w:numPr>
        <w:tabs>
          <w:tab w:val="left" w:pos="1521"/>
        </w:tabs>
        <w:spacing w:before="4" w:after="0" w:line="240" w:lineRule="auto"/>
        <w:ind w:left="1521" w:right="0" w:hanging="298"/>
        <w:jc w:val="left"/>
        <w:rPr>
          <w:sz w:val="24"/>
        </w:rPr>
      </w:pPr>
      <w:bookmarkStart w:id="184" w:name="_bookmark6"/>
      <w:bookmarkEnd w:id="184"/>
      <w:bookmarkStart w:id="185" w:name="2. 招标文件"/>
      <w:bookmarkEnd w:id="185"/>
      <w:r>
        <w:rPr>
          <w:spacing w:val="-3"/>
          <w:sz w:val="24"/>
        </w:rPr>
        <w:t>招标文件</w:t>
      </w:r>
    </w:p>
    <w:p w14:paraId="73C62F88">
      <w:pPr>
        <w:pStyle w:val="82"/>
        <w:numPr>
          <w:ilvl w:val="1"/>
          <w:numId w:val="3"/>
        </w:numPr>
        <w:tabs>
          <w:tab w:val="left" w:pos="1535"/>
        </w:tabs>
        <w:spacing w:before="303" w:after="0" w:line="240" w:lineRule="auto"/>
        <w:ind w:left="1535" w:right="0" w:hanging="448"/>
        <w:jc w:val="both"/>
        <w:rPr>
          <w:rFonts w:ascii="Arial" w:eastAsia="Arial"/>
          <w:sz w:val="24"/>
        </w:rPr>
      </w:pPr>
      <w:bookmarkStart w:id="186" w:name="2.1 招标文件的组成"/>
      <w:bookmarkEnd w:id="186"/>
      <w:r>
        <w:rPr>
          <w:spacing w:val="-2"/>
          <w:sz w:val="24"/>
        </w:rPr>
        <w:t>招标文件的组成</w:t>
      </w:r>
    </w:p>
    <w:p w14:paraId="13B09BA5">
      <w:pPr>
        <w:spacing w:before="139"/>
        <w:ind w:left="1298" w:right="0" w:firstLine="0"/>
        <w:jc w:val="left"/>
        <w:rPr>
          <w:sz w:val="21"/>
        </w:rPr>
      </w:pPr>
      <w:r>
        <w:rPr>
          <w:spacing w:val="-2"/>
          <w:sz w:val="21"/>
        </w:rPr>
        <w:t>本招标文件包括：</w:t>
      </w:r>
    </w:p>
    <w:p w14:paraId="3FECEBC5">
      <w:pPr>
        <w:pStyle w:val="82"/>
        <w:numPr>
          <w:ilvl w:val="0"/>
          <w:numId w:val="7"/>
        </w:numPr>
        <w:tabs>
          <w:tab w:val="left" w:pos="1823"/>
        </w:tabs>
        <w:spacing w:before="133" w:after="0" w:line="240" w:lineRule="auto"/>
        <w:ind w:left="1823" w:right="0" w:hanging="525"/>
        <w:jc w:val="left"/>
        <w:rPr>
          <w:sz w:val="21"/>
        </w:rPr>
      </w:pPr>
      <w:r>
        <w:rPr>
          <w:sz w:val="21"/>
        </w:rPr>
        <w:t>招标公告（或投标邀请书</w:t>
      </w:r>
      <w:r>
        <w:rPr>
          <w:spacing w:val="-110"/>
          <w:sz w:val="21"/>
        </w:rPr>
        <w:t>）</w:t>
      </w:r>
      <w:r>
        <w:rPr>
          <w:spacing w:val="-5"/>
          <w:sz w:val="21"/>
        </w:rPr>
        <w:t>；</w:t>
      </w:r>
    </w:p>
    <w:p w14:paraId="6A9F41E1">
      <w:pPr>
        <w:pStyle w:val="82"/>
        <w:numPr>
          <w:ilvl w:val="0"/>
          <w:numId w:val="7"/>
        </w:numPr>
        <w:tabs>
          <w:tab w:val="left" w:pos="1823"/>
        </w:tabs>
        <w:spacing w:before="117" w:after="0" w:line="240" w:lineRule="auto"/>
        <w:ind w:left="1823" w:right="0" w:hanging="525"/>
        <w:jc w:val="left"/>
        <w:rPr>
          <w:sz w:val="21"/>
        </w:rPr>
      </w:pPr>
      <w:r>
        <w:rPr>
          <w:spacing w:val="-2"/>
          <w:sz w:val="21"/>
        </w:rPr>
        <w:t>投标人须知；</w:t>
      </w:r>
    </w:p>
    <w:p w14:paraId="71A5A2A0">
      <w:pPr>
        <w:pStyle w:val="82"/>
        <w:numPr>
          <w:ilvl w:val="0"/>
          <w:numId w:val="7"/>
        </w:numPr>
        <w:tabs>
          <w:tab w:val="left" w:pos="1823"/>
        </w:tabs>
        <w:spacing w:before="132" w:after="0" w:line="240" w:lineRule="auto"/>
        <w:ind w:left="1823" w:right="0" w:hanging="525"/>
        <w:jc w:val="left"/>
        <w:rPr>
          <w:sz w:val="21"/>
        </w:rPr>
      </w:pPr>
      <w:r>
        <w:rPr>
          <w:spacing w:val="-2"/>
          <w:sz w:val="21"/>
        </w:rPr>
        <w:t>评标办法；</w:t>
      </w:r>
    </w:p>
    <w:p w14:paraId="4C51D620">
      <w:pPr>
        <w:pStyle w:val="82"/>
        <w:numPr>
          <w:ilvl w:val="0"/>
          <w:numId w:val="7"/>
        </w:numPr>
        <w:tabs>
          <w:tab w:val="left" w:pos="1823"/>
        </w:tabs>
        <w:spacing w:before="133" w:after="0" w:line="240" w:lineRule="auto"/>
        <w:ind w:left="1823" w:right="0" w:hanging="525"/>
        <w:jc w:val="left"/>
        <w:rPr>
          <w:sz w:val="21"/>
        </w:rPr>
      </w:pPr>
      <w:r>
        <w:rPr>
          <w:spacing w:val="-2"/>
          <w:sz w:val="21"/>
        </w:rPr>
        <w:t>合同条款及格式；</w:t>
      </w:r>
    </w:p>
    <w:p w14:paraId="01A64939">
      <w:pPr>
        <w:pStyle w:val="82"/>
        <w:numPr>
          <w:ilvl w:val="0"/>
          <w:numId w:val="7"/>
        </w:numPr>
        <w:tabs>
          <w:tab w:val="left" w:pos="1823"/>
        </w:tabs>
        <w:spacing w:before="117" w:after="0" w:line="240" w:lineRule="auto"/>
        <w:ind w:left="1823" w:right="0" w:hanging="525"/>
        <w:jc w:val="left"/>
        <w:rPr>
          <w:sz w:val="21"/>
        </w:rPr>
      </w:pPr>
      <w:r>
        <w:rPr>
          <w:spacing w:val="-4"/>
          <w:sz w:val="21"/>
        </w:rPr>
        <w:t>招标人要求；</w:t>
      </w:r>
    </w:p>
    <w:p w14:paraId="7E0F163F">
      <w:pPr>
        <w:pStyle w:val="82"/>
        <w:numPr>
          <w:ilvl w:val="0"/>
          <w:numId w:val="7"/>
        </w:numPr>
        <w:tabs>
          <w:tab w:val="left" w:pos="1823"/>
        </w:tabs>
        <w:spacing w:before="132" w:after="0" w:line="240" w:lineRule="auto"/>
        <w:ind w:left="1823" w:right="0" w:hanging="525"/>
        <w:jc w:val="left"/>
        <w:rPr>
          <w:sz w:val="21"/>
        </w:rPr>
      </w:pPr>
      <w:r>
        <w:rPr>
          <w:spacing w:val="-2"/>
          <w:sz w:val="21"/>
        </w:rPr>
        <w:t>投标文件格式；</w:t>
      </w:r>
    </w:p>
    <w:p w14:paraId="0D7B4726">
      <w:pPr>
        <w:pStyle w:val="82"/>
        <w:numPr>
          <w:ilvl w:val="0"/>
          <w:numId w:val="7"/>
        </w:numPr>
        <w:tabs>
          <w:tab w:val="left" w:pos="1823"/>
        </w:tabs>
        <w:spacing w:before="133" w:after="0" w:line="240" w:lineRule="auto"/>
        <w:ind w:left="1823" w:right="0" w:hanging="525"/>
        <w:jc w:val="left"/>
        <w:rPr>
          <w:sz w:val="21"/>
        </w:rPr>
      </w:pPr>
      <w:r>
        <w:rPr>
          <w:spacing w:val="-1"/>
          <w:sz w:val="21"/>
        </w:rPr>
        <w:t>投标人须知前附表规定的其他资料。</w:t>
      </w:r>
    </w:p>
    <w:p w14:paraId="161F80F8">
      <w:pPr>
        <w:spacing w:before="117" w:line="355" w:lineRule="auto"/>
        <w:ind w:left="802" w:right="861" w:firstLine="420"/>
        <w:jc w:val="left"/>
        <w:rPr>
          <w:sz w:val="21"/>
        </w:rPr>
      </w:pPr>
      <w:r>
        <w:rPr>
          <w:spacing w:val="-10"/>
          <w:sz w:val="21"/>
        </w:rPr>
        <w:t xml:space="preserve">根据本章第 </w:t>
      </w:r>
      <w:r>
        <w:rPr>
          <w:rFonts w:ascii="Calibri" w:eastAsia="Calibri"/>
          <w:spacing w:val="-2"/>
          <w:sz w:val="21"/>
        </w:rPr>
        <w:t>1.10</w:t>
      </w:r>
      <w:r>
        <w:rPr>
          <w:rFonts w:ascii="Calibri" w:eastAsia="Calibri"/>
          <w:spacing w:val="-8"/>
          <w:sz w:val="21"/>
        </w:rPr>
        <w:t xml:space="preserve"> </w:t>
      </w:r>
      <w:r>
        <w:rPr>
          <w:spacing w:val="-13"/>
          <w:sz w:val="21"/>
        </w:rPr>
        <w:t xml:space="preserve">款、第 </w:t>
      </w:r>
      <w:r>
        <w:rPr>
          <w:rFonts w:ascii="Calibri" w:eastAsia="Calibri"/>
          <w:spacing w:val="-2"/>
          <w:sz w:val="21"/>
        </w:rPr>
        <w:t>2.2</w:t>
      </w:r>
      <w:r>
        <w:rPr>
          <w:rFonts w:ascii="Calibri" w:eastAsia="Calibri"/>
          <w:spacing w:val="7"/>
          <w:sz w:val="21"/>
        </w:rPr>
        <w:t xml:space="preserve"> </w:t>
      </w:r>
      <w:r>
        <w:rPr>
          <w:spacing w:val="-13"/>
          <w:sz w:val="21"/>
        </w:rPr>
        <w:t xml:space="preserve">款和第 </w:t>
      </w:r>
      <w:r>
        <w:rPr>
          <w:rFonts w:ascii="Calibri" w:eastAsia="Calibri"/>
          <w:spacing w:val="-2"/>
          <w:sz w:val="21"/>
        </w:rPr>
        <w:t>2.3</w:t>
      </w:r>
      <w:r>
        <w:rPr>
          <w:rFonts w:ascii="Calibri" w:eastAsia="Calibri"/>
          <w:spacing w:val="6"/>
          <w:sz w:val="21"/>
        </w:rPr>
        <w:t xml:space="preserve"> </w:t>
      </w:r>
      <w:r>
        <w:rPr>
          <w:spacing w:val="-2"/>
          <w:sz w:val="21"/>
        </w:rPr>
        <w:t>款对招标文件所作的澄清、修改，构成招标文件的组成部分。</w:t>
      </w:r>
    </w:p>
    <w:p w14:paraId="1392D8C6">
      <w:pPr>
        <w:pStyle w:val="82"/>
        <w:numPr>
          <w:ilvl w:val="1"/>
          <w:numId w:val="3"/>
        </w:numPr>
        <w:tabs>
          <w:tab w:val="left" w:pos="1535"/>
        </w:tabs>
        <w:spacing w:before="47" w:after="0" w:line="240" w:lineRule="auto"/>
        <w:ind w:left="1535" w:right="0" w:hanging="448"/>
        <w:jc w:val="both"/>
        <w:rPr>
          <w:rFonts w:ascii="Arial" w:eastAsia="Arial"/>
          <w:sz w:val="24"/>
        </w:rPr>
      </w:pPr>
      <w:bookmarkStart w:id="187" w:name="2.2 招标文件的澄清"/>
      <w:bookmarkEnd w:id="187"/>
      <w:r>
        <w:rPr>
          <w:spacing w:val="-2"/>
          <w:sz w:val="24"/>
        </w:rPr>
        <w:t>招标文件的澄清</w:t>
      </w:r>
    </w:p>
    <w:p w14:paraId="50F16709">
      <w:pPr>
        <w:pStyle w:val="82"/>
        <w:numPr>
          <w:ilvl w:val="2"/>
          <w:numId w:val="3"/>
        </w:numPr>
        <w:tabs>
          <w:tab w:val="left" w:pos="1760"/>
        </w:tabs>
        <w:spacing w:before="52" w:after="0" w:line="240" w:lineRule="auto"/>
        <w:ind w:left="1760" w:right="0" w:hanging="537"/>
        <w:jc w:val="left"/>
        <w:rPr>
          <w:sz w:val="21"/>
        </w:rPr>
      </w:pPr>
      <w:r>
        <w:rPr>
          <w:spacing w:val="-2"/>
          <w:sz w:val="21"/>
        </w:rPr>
        <w:t>投标人应仔细阅读和检查招标文件的全部内容。如发现缺页或附件不全，应及时</w:t>
      </w:r>
      <w:r>
        <w:rPr>
          <w:spacing w:val="-1"/>
          <w:sz w:val="21"/>
        </w:rPr>
        <w:t xml:space="preserve">向招标人提出，以便补齐。如有疑问，应在投标人须知前附表规定的时间前，使用 </w:t>
      </w:r>
      <w:r>
        <w:rPr>
          <w:rFonts w:ascii="Calibri" w:hAnsi="Calibri" w:eastAsia="Calibri"/>
          <w:sz w:val="21"/>
        </w:rPr>
        <w:t>CA</w:t>
      </w:r>
      <w:r>
        <w:rPr>
          <w:rFonts w:ascii="Calibri" w:hAnsi="Calibri" w:eastAsia="Calibri"/>
          <w:spacing w:val="-12"/>
          <w:sz w:val="21"/>
        </w:rPr>
        <w:t xml:space="preserve"> </w:t>
      </w:r>
      <w:r>
        <w:rPr>
          <w:sz w:val="21"/>
        </w:rPr>
        <w:t>数字</w:t>
      </w:r>
      <w:r>
        <w:rPr>
          <w:spacing w:val="-2"/>
          <w:sz w:val="21"/>
        </w:rPr>
        <w:t>证书登录</w:t>
      </w:r>
      <w:r>
        <w:rPr>
          <w:rFonts w:ascii="Calibri" w:hAnsi="Calibri" w:eastAsia="Calibri"/>
          <w:spacing w:val="-2"/>
          <w:sz w:val="21"/>
        </w:rPr>
        <w:t>“</w:t>
      </w:r>
      <w:r>
        <w:rPr>
          <w:spacing w:val="-2"/>
          <w:sz w:val="21"/>
        </w:rPr>
        <w:t>电子交易平台</w:t>
      </w:r>
      <w:r>
        <w:rPr>
          <w:rFonts w:ascii="Calibri" w:hAnsi="Calibri" w:eastAsia="Calibri"/>
          <w:spacing w:val="-2"/>
          <w:sz w:val="21"/>
        </w:rPr>
        <w:t>”</w:t>
      </w:r>
      <w:r>
        <w:rPr>
          <w:spacing w:val="-2"/>
          <w:sz w:val="21"/>
        </w:rPr>
        <w:t>，在</w:t>
      </w:r>
      <w:r>
        <w:rPr>
          <w:rFonts w:ascii="Calibri" w:hAnsi="Calibri" w:eastAsia="Calibri"/>
          <w:spacing w:val="-2"/>
          <w:sz w:val="21"/>
        </w:rPr>
        <w:t>“</w:t>
      </w:r>
      <w:r>
        <w:rPr>
          <w:spacing w:val="-2"/>
          <w:sz w:val="21"/>
        </w:rPr>
        <w:t>投标答疑</w:t>
      </w:r>
      <w:r>
        <w:rPr>
          <w:rFonts w:ascii="Calibri" w:hAnsi="Calibri" w:eastAsia="Calibri"/>
          <w:spacing w:val="-2"/>
          <w:sz w:val="21"/>
        </w:rPr>
        <w:t>”</w:t>
      </w:r>
      <w:r>
        <w:rPr>
          <w:spacing w:val="-2"/>
          <w:sz w:val="21"/>
        </w:rPr>
        <w:t>菜单以书面形式要求招标人对招标文件予以澄清。</w:t>
      </w:r>
      <w:r>
        <w:rPr>
          <w:sz w:val="21"/>
        </w:rPr>
        <w:t>招标人对招标文件的澄清通过</w:t>
      </w:r>
      <w:r>
        <w:rPr>
          <w:rFonts w:ascii="Calibri" w:hAnsi="Calibri" w:eastAsia="Calibri"/>
          <w:sz w:val="21"/>
        </w:rPr>
        <w:t>“</w:t>
      </w:r>
      <w:r>
        <w:rPr>
          <w:sz w:val="21"/>
        </w:rPr>
        <w:t>电子交易平台</w:t>
      </w:r>
      <w:r>
        <w:rPr>
          <w:rFonts w:ascii="Calibri" w:hAnsi="Calibri" w:eastAsia="Calibri"/>
          <w:sz w:val="21"/>
        </w:rPr>
        <w:t>”</w:t>
      </w:r>
      <w:r>
        <w:rPr>
          <w:spacing w:val="-1"/>
          <w:sz w:val="21"/>
        </w:rPr>
        <w:t>以书面形式发给所有下载招标文件</w:t>
      </w:r>
    </w:p>
    <w:p w14:paraId="6A8BF84D">
      <w:pPr>
        <w:spacing w:before="133"/>
        <w:ind w:left="802" w:right="0" w:firstLine="0"/>
        <w:jc w:val="left"/>
        <w:rPr>
          <w:sz w:val="21"/>
        </w:rPr>
      </w:pPr>
      <w:r>
        <w:rPr>
          <w:spacing w:val="-2"/>
          <w:sz w:val="21"/>
        </w:rPr>
        <w:t xml:space="preserve">的投标人，但不指明澄清问题的来源。如澄清发出的时间距本章第 </w:t>
      </w:r>
      <w:r>
        <w:rPr>
          <w:rFonts w:ascii="Calibri" w:eastAsia="Calibri"/>
          <w:sz w:val="21"/>
        </w:rPr>
        <w:t xml:space="preserve">4.2.1 </w:t>
      </w:r>
      <w:r>
        <w:rPr>
          <w:spacing w:val="-2"/>
          <w:sz w:val="21"/>
        </w:rPr>
        <w:t>项规定的投标截止</w:t>
      </w:r>
    </w:p>
    <w:p w14:paraId="2BEBAAD8">
      <w:pPr>
        <w:spacing w:before="117"/>
        <w:ind w:left="802" w:right="0" w:firstLine="0"/>
        <w:jc w:val="left"/>
        <w:rPr>
          <w:sz w:val="21"/>
        </w:rPr>
      </w:pPr>
      <w:r>
        <w:rPr>
          <w:spacing w:val="-10"/>
          <w:sz w:val="21"/>
        </w:rPr>
        <w:t xml:space="preserve">时间不足 </w:t>
      </w:r>
      <w:r>
        <w:rPr>
          <w:rFonts w:ascii="Calibri" w:eastAsia="Calibri"/>
          <w:sz w:val="21"/>
        </w:rPr>
        <w:t>15</w:t>
      </w:r>
      <w:r>
        <w:rPr>
          <w:rFonts w:ascii="Calibri" w:eastAsia="Calibri"/>
          <w:spacing w:val="9"/>
          <w:sz w:val="21"/>
        </w:rPr>
        <w:t xml:space="preserve"> </w:t>
      </w:r>
      <w:r>
        <w:rPr>
          <w:spacing w:val="-1"/>
          <w:sz w:val="21"/>
        </w:rPr>
        <w:t>日，且澄清内容可能影响投标文件编制的，将相应延长投标截止时间。</w:t>
      </w:r>
    </w:p>
    <w:p w14:paraId="3EFA416C">
      <w:pPr>
        <w:pStyle w:val="82"/>
        <w:numPr>
          <w:ilvl w:val="2"/>
          <w:numId w:val="3"/>
        </w:numPr>
        <w:tabs>
          <w:tab w:val="left" w:pos="1759"/>
        </w:tabs>
        <w:spacing w:before="132" w:after="0" w:line="357" w:lineRule="auto"/>
        <w:ind w:left="802" w:right="875" w:firstLine="420"/>
        <w:jc w:val="left"/>
        <w:rPr>
          <w:sz w:val="21"/>
        </w:rPr>
      </w:pPr>
      <w:r>
        <w:rPr>
          <w:sz w:val="21"/>
        </w:rPr>
        <w:t>投标人应实时关注</w:t>
      </w:r>
      <w:r>
        <w:rPr>
          <w:rFonts w:ascii="Calibri" w:hAnsi="Calibri" w:eastAsia="Calibri"/>
          <w:sz w:val="21"/>
        </w:rPr>
        <w:t>“</w:t>
      </w:r>
      <w:r>
        <w:rPr>
          <w:sz w:val="21"/>
        </w:rPr>
        <w:t>电子交易平台</w:t>
      </w:r>
      <w:r>
        <w:rPr>
          <w:rFonts w:ascii="Calibri" w:hAnsi="Calibri" w:eastAsia="Calibri"/>
          <w:sz w:val="21"/>
        </w:rPr>
        <w:t>”</w:t>
      </w:r>
      <w:r>
        <w:rPr>
          <w:sz w:val="21"/>
        </w:rPr>
        <w:t>上发出的澄清通知，因投标人自身原因未及时</w:t>
      </w:r>
      <w:r>
        <w:rPr>
          <w:spacing w:val="-2"/>
          <w:sz w:val="21"/>
        </w:rPr>
        <w:t>获知澄清内容而导致的任何后果将由投标人自行承担。</w:t>
      </w:r>
    </w:p>
    <w:p w14:paraId="5720D932">
      <w:pPr>
        <w:pStyle w:val="82"/>
        <w:numPr>
          <w:ilvl w:val="2"/>
          <w:numId w:val="3"/>
        </w:numPr>
        <w:tabs>
          <w:tab w:val="left" w:pos="1760"/>
        </w:tabs>
        <w:spacing w:before="0" w:after="0" w:line="255" w:lineRule="exact"/>
        <w:ind w:left="1760" w:right="0" w:hanging="537"/>
        <w:jc w:val="left"/>
        <w:rPr>
          <w:rFonts w:ascii="Calibri" w:eastAsia="Calibri"/>
          <w:sz w:val="21"/>
        </w:rPr>
      </w:pPr>
      <w:r>
        <w:rPr>
          <w:spacing w:val="-4"/>
          <w:sz w:val="21"/>
        </w:rPr>
        <w:t xml:space="preserve">除非招标人认为确有必要答复，否则，招标人有权拒绝回复投标人在本章第 </w:t>
      </w:r>
      <w:r>
        <w:rPr>
          <w:rFonts w:ascii="Calibri" w:eastAsia="Calibri"/>
          <w:spacing w:val="-2"/>
          <w:sz w:val="21"/>
        </w:rPr>
        <w:t>2.2.1</w:t>
      </w:r>
    </w:p>
    <w:p w14:paraId="7C81A64D">
      <w:pPr>
        <w:spacing w:before="132"/>
        <w:ind w:left="802" w:right="0" w:firstLine="0"/>
        <w:jc w:val="left"/>
        <w:rPr>
          <w:sz w:val="21"/>
        </w:rPr>
      </w:pPr>
      <w:r>
        <w:rPr>
          <w:spacing w:val="-1"/>
          <w:sz w:val="21"/>
        </w:rPr>
        <w:t>项规定的时间后提出的任何澄清要求。</w:t>
      </w:r>
    </w:p>
    <w:p w14:paraId="529B131A">
      <w:pPr>
        <w:pStyle w:val="82"/>
        <w:numPr>
          <w:ilvl w:val="1"/>
          <w:numId w:val="3"/>
        </w:numPr>
        <w:tabs>
          <w:tab w:val="left" w:pos="1250"/>
        </w:tabs>
        <w:spacing w:before="177" w:after="0" w:line="240" w:lineRule="auto"/>
        <w:ind w:left="1250" w:right="0" w:hanging="448"/>
        <w:jc w:val="left"/>
        <w:rPr>
          <w:rFonts w:ascii="Arial" w:eastAsia="Arial"/>
          <w:sz w:val="24"/>
        </w:rPr>
      </w:pPr>
      <w:bookmarkStart w:id="188" w:name="2.3 招标文件的修改"/>
      <w:bookmarkEnd w:id="188"/>
      <w:r>
        <w:rPr>
          <w:spacing w:val="-2"/>
          <w:sz w:val="24"/>
        </w:rPr>
        <w:t>招标文件的修改</w:t>
      </w:r>
    </w:p>
    <w:p w14:paraId="7457B83A">
      <w:pPr>
        <w:pStyle w:val="82"/>
        <w:numPr>
          <w:ilvl w:val="2"/>
          <w:numId w:val="3"/>
        </w:numPr>
        <w:tabs>
          <w:tab w:val="left" w:pos="1760"/>
        </w:tabs>
        <w:spacing w:before="139" w:after="0" w:line="240" w:lineRule="auto"/>
        <w:ind w:left="1760" w:right="0" w:hanging="537"/>
        <w:jc w:val="left"/>
        <w:rPr>
          <w:sz w:val="21"/>
        </w:rPr>
      </w:pPr>
      <w:r>
        <w:rPr>
          <w:sz w:val="21"/>
        </w:rPr>
        <w:t>招标人可以书面形式修改招标文件，并通过</w:t>
      </w:r>
      <w:r>
        <w:rPr>
          <w:rFonts w:ascii="Calibri" w:hAnsi="Calibri" w:eastAsia="Calibri"/>
          <w:sz w:val="21"/>
        </w:rPr>
        <w:t>“</w:t>
      </w:r>
      <w:r>
        <w:rPr>
          <w:sz w:val="21"/>
        </w:rPr>
        <w:t>电子交易平台</w:t>
      </w:r>
      <w:r>
        <w:rPr>
          <w:rFonts w:ascii="Calibri" w:hAnsi="Calibri" w:eastAsia="Calibri"/>
          <w:sz w:val="21"/>
        </w:rPr>
        <w:t>”</w:t>
      </w:r>
      <w:r>
        <w:rPr>
          <w:spacing w:val="-2"/>
          <w:sz w:val="21"/>
        </w:rPr>
        <w:t>通知所有已下载招标</w:t>
      </w:r>
    </w:p>
    <w:p w14:paraId="238AC5B2">
      <w:pPr>
        <w:spacing w:before="133"/>
        <w:ind w:left="802" w:right="0" w:firstLine="0"/>
        <w:jc w:val="left"/>
        <w:rPr>
          <w:sz w:val="21"/>
        </w:rPr>
      </w:pPr>
      <w:r>
        <w:rPr>
          <w:spacing w:val="-2"/>
          <w:sz w:val="21"/>
        </w:rPr>
        <w:t xml:space="preserve">文件的投标人。如修改招标文件通知发出的时间距本章第 </w:t>
      </w:r>
      <w:r>
        <w:rPr>
          <w:rFonts w:ascii="Calibri" w:eastAsia="Calibri"/>
          <w:sz w:val="21"/>
        </w:rPr>
        <w:t>4.2.1</w:t>
      </w:r>
      <w:r>
        <w:rPr>
          <w:rFonts w:ascii="Calibri" w:eastAsia="Calibri"/>
          <w:spacing w:val="-1"/>
          <w:sz w:val="21"/>
        </w:rPr>
        <w:t xml:space="preserve"> </w:t>
      </w:r>
      <w:r>
        <w:rPr>
          <w:spacing w:val="-1"/>
          <w:sz w:val="21"/>
        </w:rPr>
        <w:t>项规定的投标截止时间不足</w:t>
      </w:r>
    </w:p>
    <w:p w14:paraId="4B8D8724">
      <w:pPr>
        <w:spacing w:before="117"/>
        <w:ind w:left="802" w:right="0" w:firstLine="0"/>
        <w:jc w:val="left"/>
        <w:rPr>
          <w:sz w:val="21"/>
        </w:rPr>
      </w:pPr>
      <w:r>
        <w:rPr>
          <w:rFonts w:ascii="Calibri" w:eastAsia="Calibri"/>
          <w:sz w:val="21"/>
        </w:rPr>
        <w:t>15</w:t>
      </w:r>
      <w:r>
        <w:rPr>
          <w:rFonts w:ascii="Calibri" w:eastAsia="Calibri"/>
          <w:spacing w:val="8"/>
          <w:sz w:val="21"/>
        </w:rPr>
        <w:t xml:space="preserve"> </w:t>
      </w:r>
      <w:r>
        <w:rPr>
          <w:spacing w:val="-1"/>
          <w:sz w:val="21"/>
        </w:rPr>
        <w:t>日，且修改内容可能影响投标文件编制的，将相应延长投标截止时间。</w:t>
      </w:r>
    </w:p>
    <w:p w14:paraId="6CD2F890">
      <w:pPr>
        <w:pStyle w:val="82"/>
        <w:numPr>
          <w:ilvl w:val="2"/>
          <w:numId w:val="3"/>
        </w:numPr>
        <w:tabs>
          <w:tab w:val="left" w:pos="1759"/>
        </w:tabs>
        <w:spacing w:before="132" w:after="0" w:line="355" w:lineRule="auto"/>
        <w:ind w:left="802" w:right="875" w:firstLine="420"/>
        <w:jc w:val="left"/>
        <w:rPr>
          <w:sz w:val="21"/>
        </w:rPr>
      </w:pPr>
      <w:r>
        <w:rPr>
          <w:sz w:val="21"/>
        </w:rPr>
        <w:t>投标人应实时关注</w:t>
      </w:r>
      <w:r>
        <w:rPr>
          <w:rFonts w:ascii="Calibri" w:hAnsi="Calibri" w:eastAsia="Calibri"/>
          <w:sz w:val="21"/>
        </w:rPr>
        <w:t>“</w:t>
      </w:r>
      <w:r>
        <w:rPr>
          <w:sz w:val="21"/>
        </w:rPr>
        <w:t>电子交易平台</w:t>
      </w:r>
      <w:r>
        <w:rPr>
          <w:rFonts w:ascii="Calibri" w:hAnsi="Calibri" w:eastAsia="Calibri"/>
          <w:sz w:val="21"/>
        </w:rPr>
        <w:t>”</w:t>
      </w:r>
      <w:r>
        <w:rPr>
          <w:sz w:val="21"/>
        </w:rPr>
        <w:t>上发出的修改通知，因投标人自身原因未及时</w:t>
      </w:r>
      <w:r>
        <w:rPr>
          <w:spacing w:val="-2"/>
          <w:sz w:val="21"/>
        </w:rPr>
        <w:t>获知修改内容而导致的任何后果将由投标人自行承担。</w:t>
      </w:r>
    </w:p>
    <w:p w14:paraId="4BDB6BB9">
      <w:pPr>
        <w:pStyle w:val="82"/>
        <w:numPr>
          <w:ilvl w:val="1"/>
          <w:numId w:val="3"/>
        </w:numPr>
        <w:tabs>
          <w:tab w:val="left" w:pos="1476"/>
        </w:tabs>
        <w:spacing w:before="33" w:after="0" w:line="240" w:lineRule="auto"/>
        <w:ind w:left="1476" w:right="0" w:hanging="389"/>
        <w:jc w:val="left"/>
        <w:rPr>
          <w:rFonts w:ascii="Arial" w:eastAsia="Arial"/>
          <w:sz w:val="24"/>
        </w:rPr>
      </w:pPr>
      <w:bookmarkStart w:id="189" w:name="2.4对招标文件的异议"/>
      <w:bookmarkEnd w:id="189"/>
      <w:r>
        <w:rPr>
          <w:spacing w:val="-2"/>
          <w:sz w:val="24"/>
        </w:rPr>
        <w:t>对招标文件的异议</w:t>
      </w:r>
    </w:p>
    <w:p w14:paraId="22E6AAA1">
      <w:pPr>
        <w:pStyle w:val="82"/>
        <w:numPr>
          <w:ilvl w:val="2"/>
          <w:numId w:val="3"/>
        </w:numPr>
        <w:tabs>
          <w:tab w:val="left" w:pos="1760"/>
        </w:tabs>
        <w:spacing w:before="153" w:after="0" w:line="240" w:lineRule="auto"/>
        <w:ind w:left="1760" w:right="0" w:hanging="537"/>
        <w:jc w:val="left"/>
        <w:rPr>
          <w:sz w:val="21"/>
        </w:rPr>
      </w:pPr>
      <w:r>
        <w:rPr>
          <w:sz w:val="21"/>
        </w:rPr>
        <w:t>投标人或者其他利害关系人对招标文件</w:t>
      </w:r>
      <w:r>
        <w:rPr>
          <w:rFonts w:ascii="Calibri" w:eastAsia="Calibri"/>
          <w:sz w:val="21"/>
        </w:rPr>
        <w:t>(</w:t>
      </w:r>
      <w:r>
        <w:rPr>
          <w:sz w:val="21"/>
        </w:rPr>
        <w:t>包括对招标文件澄清和修改的内容</w:t>
      </w:r>
      <w:r>
        <w:rPr>
          <w:rFonts w:ascii="Calibri" w:eastAsia="Calibri"/>
          <w:spacing w:val="11"/>
          <w:sz w:val="21"/>
        </w:rPr>
        <w:t>)</w:t>
      </w:r>
      <w:r>
        <w:rPr>
          <w:spacing w:val="-5"/>
          <w:sz w:val="21"/>
        </w:rPr>
        <w:t>有异</w:t>
      </w:r>
    </w:p>
    <w:p w14:paraId="052AC47A">
      <w:pPr>
        <w:spacing w:before="118" w:line="355" w:lineRule="auto"/>
        <w:ind w:left="802" w:right="755" w:firstLine="0"/>
        <w:jc w:val="left"/>
        <w:rPr>
          <w:sz w:val="21"/>
        </w:rPr>
      </w:pPr>
      <w:r>
        <w:rPr>
          <w:spacing w:val="-5"/>
          <w:sz w:val="21"/>
        </w:rPr>
        <w:t xml:space="preserve">议的，应当在本章第 </w:t>
      </w:r>
      <w:r>
        <w:rPr>
          <w:rFonts w:ascii="Calibri" w:hAnsi="Calibri" w:eastAsia="Calibri"/>
          <w:sz w:val="21"/>
        </w:rPr>
        <w:t>4.2.1</w:t>
      </w:r>
      <w:r>
        <w:rPr>
          <w:rFonts w:ascii="Calibri" w:hAnsi="Calibri" w:eastAsia="Calibri"/>
          <w:spacing w:val="13"/>
          <w:sz w:val="21"/>
        </w:rPr>
        <w:t xml:space="preserve"> </w:t>
      </w:r>
      <w:r>
        <w:rPr>
          <w:spacing w:val="-5"/>
          <w:sz w:val="21"/>
        </w:rPr>
        <w:t xml:space="preserve">项规定的投标截止时间 </w:t>
      </w:r>
      <w:r>
        <w:rPr>
          <w:rFonts w:ascii="Calibri" w:hAnsi="Calibri" w:eastAsia="Calibri"/>
          <w:sz w:val="21"/>
        </w:rPr>
        <w:t>10</w:t>
      </w:r>
      <w:r>
        <w:rPr>
          <w:rFonts w:ascii="Calibri" w:hAnsi="Calibri" w:eastAsia="Calibri"/>
          <w:spacing w:val="12"/>
          <w:sz w:val="21"/>
        </w:rPr>
        <w:t xml:space="preserve"> </w:t>
      </w:r>
      <w:r>
        <w:rPr>
          <w:spacing w:val="-3"/>
          <w:sz w:val="21"/>
        </w:rPr>
        <w:t xml:space="preserve">日前提出。招标人自收到异议之日起 </w:t>
      </w:r>
      <w:r>
        <w:rPr>
          <w:rFonts w:ascii="Calibri" w:hAnsi="Calibri" w:eastAsia="Calibri"/>
          <w:sz w:val="21"/>
        </w:rPr>
        <w:t>3</w:t>
      </w:r>
      <w:r>
        <w:rPr>
          <w:spacing w:val="-6"/>
          <w:sz w:val="21"/>
        </w:rPr>
        <w:t>日内作出答复；作出答复前，招标人将暂停招标投标活动。逾期提出的，招标人可不予受理。</w:t>
      </w:r>
      <w:r>
        <w:rPr>
          <w:spacing w:val="-2"/>
          <w:sz w:val="21"/>
        </w:rPr>
        <w:t>异议与答复应通过</w:t>
      </w:r>
      <w:r>
        <w:rPr>
          <w:rFonts w:ascii="Calibri" w:hAnsi="Calibri" w:eastAsia="Calibri"/>
          <w:spacing w:val="-2"/>
          <w:sz w:val="21"/>
        </w:rPr>
        <w:t>“</w:t>
      </w:r>
      <w:r>
        <w:rPr>
          <w:spacing w:val="-2"/>
          <w:sz w:val="21"/>
        </w:rPr>
        <w:t>电子交易平台</w:t>
      </w:r>
      <w:r>
        <w:rPr>
          <w:rFonts w:ascii="Calibri" w:hAnsi="Calibri" w:eastAsia="Calibri"/>
          <w:spacing w:val="-2"/>
          <w:sz w:val="21"/>
        </w:rPr>
        <w:t>”</w:t>
      </w:r>
      <w:r>
        <w:rPr>
          <w:spacing w:val="-2"/>
          <w:sz w:val="21"/>
        </w:rPr>
        <w:t>在</w:t>
      </w:r>
      <w:r>
        <w:rPr>
          <w:rFonts w:ascii="Calibri" w:hAnsi="Calibri" w:eastAsia="Calibri"/>
          <w:spacing w:val="-2"/>
          <w:sz w:val="21"/>
        </w:rPr>
        <w:t>“</w:t>
      </w:r>
      <w:r>
        <w:rPr>
          <w:spacing w:val="-2"/>
          <w:sz w:val="21"/>
        </w:rPr>
        <w:t>异议与答复</w:t>
      </w:r>
      <w:r>
        <w:rPr>
          <w:rFonts w:ascii="Calibri" w:hAnsi="Calibri" w:eastAsia="Calibri"/>
          <w:spacing w:val="-2"/>
          <w:sz w:val="21"/>
        </w:rPr>
        <w:t>”</w:t>
      </w:r>
      <w:r>
        <w:rPr>
          <w:spacing w:val="-2"/>
          <w:sz w:val="21"/>
        </w:rPr>
        <w:t>菜单以书面形式进行。</w:t>
      </w:r>
    </w:p>
    <w:p w14:paraId="193C65E0">
      <w:pPr>
        <w:spacing w:before="0" w:line="355" w:lineRule="auto"/>
        <w:ind w:left="802" w:right="857" w:firstLine="420"/>
        <w:jc w:val="both"/>
        <w:rPr>
          <w:sz w:val="21"/>
        </w:rPr>
      </w:pPr>
      <w:r>
        <w:rPr>
          <w:spacing w:val="-4"/>
          <w:sz w:val="21"/>
        </w:rPr>
        <w:t>本处所称异议是指投标人或者其他利害关系人认为招标文件的内容违反法律、法规、规</w:t>
      </w:r>
      <w:r>
        <w:rPr>
          <w:spacing w:val="-3"/>
          <w:sz w:val="21"/>
        </w:rPr>
        <w:t>章的强制性规定，违反公开、公平、公正和诚实信用原则，影响投标人投标而向招标人提出</w:t>
      </w:r>
      <w:r>
        <w:rPr>
          <w:spacing w:val="-4"/>
          <w:sz w:val="21"/>
        </w:rPr>
        <w:t>的质疑。</w:t>
      </w:r>
    </w:p>
    <w:p w14:paraId="69B1852B">
      <w:pPr>
        <w:pStyle w:val="82"/>
        <w:numPr>
          <w:ilvl w:val="2"/>
          <w:numId w:val="3"/>
        </w:numPr>
        <w:tabs>
          <w:tab w:val="left" w:pos="1760"/>
        </w:tabs>
        <w:spacing w:before="0" w:after="0" w:line="262" w:lineRule="exact"/>
        <w:ind w:left="1760" w:right="0" w:hanging="537"/>
        <w:jc w:val="both"/>
        <w:rPr>
          <w:rFonts w:ascii="Calibri" w:eastAsia="Calibri"/>
          <w:sz w:val="21"/>
        </w:rPr>
      </w:pPr>
      <w:r>
        <w:rPr>
          <w:spacing w:val="-1"/>
          <w:sz w:val="21"/>
        </w:rPr>
        <w:t xml:space="preserve">招标人对异议的答复构成对招标文件澄清或者修改的，招标人将按照本章第 </w:t>
      </w:r>
      <w:r>
        <w:rPr>
          <w:rFonts w:ascii="Calibri" w:eastAsia="Calibri"/>
          <w:spacing w:val="-5"/>
          <w:sz w:val="21"/>
        </w:rPr>
        <w:t>2.2</w:t>
      </w:r>
    </w:p>
    <w:p w14:paraId="7FA2C27E">
      <w:pPr>
        <w:spacing w:before="121"/>
        <w:ind w:left="802" w:right="0" w:firstLine="0"/>
        <w:jc w:val="both"/>
        <w:rPr>
          <w:sz w:val="21"/>
        </w:rPr>
      </w:pPr>
      <w:r>
        <w:rPr>
          <w:spacing w:val="-11"/>
          <w:sz w:val="21"/>
        </w:rPr>
        <w:t xml:space="preserve">款、第 </w:t>
      </w:r>
      <w:r>
        <w:rPr>
          <w:rFonts w:ascii="Calibri" w:eastAsia="Calibri"/>
          <w:sz w:val="21"/>
        </w:rPr>
        <w:t>2.3</w:t>
      </w:r>
      <w:r>
        <w:rPr>
          <w:rFonts w:ascii="Calibri" w:eastAsia="Calibri"/>
          <w:spacing w:val="13"/>
          <w:sz w:val="21"/>
        </w:rPr>
        <w:t xml:space="preserve"> </w:t>
      </w:r>
      <w:r>
        <w:rPr>
          <w:spacing w:val="-2"/>
          <w:sz w:val="21"/>
        </w:rPr>
        <w:t>款规定办理。</w:t>
      </w:r>
    </w:p>
    <w:p w14:paraId="74E5C5FE">
      <w:pPr>
        <w:pStyle w:val="82"/>
        <w:numPr>
          <w:ilvl w:val="0"/>
          <w:numId w:val="3"/>
        </w:numPr>
        <w:tabs>
          <w:tab w:val="left" w:pos="1521"/>
        </w:tabs>
        <w:spacing w:before="26" w:after="0" w:line="240" w:lineRule="auto"/>
        <w:ind w:left="1521" w:right="0" w:hanging="298"/>
        <w:jc w:val="both"/>
        <w:rPr>
          <w:sz w:val="24"/>
        </w:rPr>
      </w:pPr>
      <w:bookmarkStart w:id="190" w:name="3. 投标文件"/>
      <w:bookmarkEnd w:id="190"/>
      <w:bookmarkStart w:id="191" w:name="_bookmark7"/>
      <w:bookmarkEnd w:id="191"/>
      <w:r>
        <w:rPr>
          <w:spacing w:val="-3"/>
          <w:sz w:val="24"/>
        </w:rPr>
        <w:t>投标文件</w:t>
      </w:r>
    </w:p>
    <w:p w14:paraId="39294C1E">
      <w:pPr>
        <w:pStyle w:val="82"/>
        <w:numPr>
          <w:ilvl w:val="1"/>
          <w:numId w:val="3"/>
        </w:numPr>
        <w:tabs>
          <w:tab w:val="left" w:pos="1643"/>
        </w:tabs>
        <w:spacing w:before="305" w:after="0" w:line="240" w:lineRule="auto"/>
        <w:ind w:left="1643" w:right="0" w:hanging="556"/>
        <w:jc w:val="left"/>
        <w:rPr>
          <w:rFonts w:ascii="Arial" w:eastAsia="Arial"/>
          <w:sz w:val="24"/>
        </w:rPr>
      </w:pPr>
      <w:bookmarkStart w:id="192" w:name="3.1 投标文件的组成"/>
      <w:bookmarkEnd w:id="192"/>
      <w:r>
        <w:rPr>
          <w:spacing w:val="-2"/>
          <w:sz w:val="24"/>
        </w:rPr>
        <w:t>投标文件的组成</w:t>
      </w:r>
    </w:p>
    <w:p w14:paraId="31B5C340">
      <w:pPr>
        <w:pStyle w:val="82"/>
        <w:numPr>
          <w:ilvl w:val="2"/>
          <w:numId w:val="3"/>
        </w:numPr>
        <w:tabs>
          <w:tab w:val="left" w:pos="1714"/>
        </w:tabs>
        <w:spacing w:before="18" w:after="0" w:line="272" w:lineRule="exact"/>
        <w:ind w:left="1714" w:right="0" w:hanging="491"/>
        <w:jc w:val="left"/>
        <w:rPr>
          <w:sz w:val="21"/>
        </w:rPr>
      </w:pPr>
      <w:r>
        <w:rPr>
          <w:spacing w:val="-3"/>
          <w:sz w:val="21"/>
        </w:rPr>
        <w:t>投标文件包括下列内容：</w:t>
      </w:r>
    </w:p>
    <w:p w14:paraId="043AE430">
      <w:pPr>
        <w:pStyle w:val="82"/>
        <w:numPr>
          <w:ilvl w:val="0"/>
          <w:numId w:val="8"/>
        </w:numPr>
        <w:tabs>
          <w:tab w:val="left" w:pos="1747"/>
        </w:tabs>
        <w:spacing w:before="0" w:after="0" w:line="270" w:lineRule="exact"/>
        <w:ind w:left="1747" w:right="0" w:hanging="524"/>
        <w:jc w:val="left"/>
        <w:rPr>
          <w:sz w:val="21"/>
        </w:rPr>
      </w:pPr>
      <w:r>
        <w:rPr>
          <w:spacing w:val="-1"/>
          <w:sz w:val="21"/>
        </w:rPr>
        <w:t>投标函及投标函附录；</w:t>
      </w:r>
    </w:p>
    <w:p w14:paraId="3B87820C">
      <w:pPr>
        <w:pStyle w:val="82"/>
        <w:numPr>
          <w:ilvl w:val="0"/>
          <w:numId w:val="8"/>
        </w:numPr>
        <w:tabs>
          <w:tab w:val="left" w:pos="1747"/>
        </w:tabs>
        <w:spacing w:before="0" w:after="0" w:line="271" w:lineRule="exact"/>
        <w:ind w:left="1747" w:right="0" w:hanging="524"/>
        <w:jc w:val="left"/>
        <w:rPr>
          <w:sz w:val="21"/>
        </w:rPr>
      </w:pPr>
      <w:r>
        <w:rPr>
          <w:spacing w:val="-1"/>
          <w:sz w:val="21"/>
        </w:rPr>
        <w:t>法定代表人身份证明；</w:t>
      </w:r>
    </w:p>
    <w:p w14:paraId="1904E9E4">
      <w:pPr>
        <w:pStyle w:val="82"/>
        <w:numPr>
          <w:ilvl w:val="0"/>
          <w:numId w:val="8"/>
        </w:numPr>
        <w:tabs>
          <w:tab w:val="left" w:pos="1747"/>
        </w:tabs>
        <w:spacing w:before="13" w:after="0" w:line="272" w:lineRule="exact"/>
        <w:ind w:left="1747" w:right="0" w:hanging="524"/>
        <w:jc w:val="left"/>
        <w:rPr>
          <w:sz w:val="21"/>
        </w:rPr>
      </w:pPr>
      <w:r>
        <w:rPr>
          <w:spacing w:val="-2"/>
          <w:sz w:val="21"/>
        </w:rPr>
        <w:t>投标保证金；</w:t>
      </w:r>
    </w:p>
    <w:p w14:paraId="317AC2E6">
      <w:pPr>
        <w:pStyle w:val="82"/>
        <w:numPr>
          <w:ilvl w:val="0"/>
          <w:numId w:val="8"/>
        </w:numPr>
        <w:tabs>
          <w:tab w:val="left" w:pos="1747"/>
        </w:tabs>
        <w:spacing w:before="0" w:after="0" w:line="270" w:lineRule="exact"/>
        <w:ind w:left="1747" w:right="0" w:hanging="524"/>
        <w:jc w:val="left"/>
        <w:rPr>
          <w:sz w:val="21"/>
        </w:rPr>
      </w:pPr>
      <w:r>
        <w:rPr>
          <w:sz w:val="21"/>
        </w:rPr>
        <w:t>联合体协议书（如有</w:t>
      </w:r>
      <w:r>
        <w:rPr>
          <w:spacing w:val="-110"/>
          <w:sz w:val="21"/>
        </w:rPr>
        <w:t>）</w:t>
      </w:r>
      <w:r>
        <w:rPr>
          <w:spacing w:val="-5"/>
          <w:sz w:val="21"/>
        </w:rPr>
        <w:t>；</w:t>
      </w:r>
    </w:p>
    <w:p w14:paraId="0BA62690">
      <w:pPr>
        <w:pStyle w:val="82"/>
        <w:numPr>
          <w:ilvl w:val="0"/>
          <w:numId w:val="8"/>
        </w:numPr>
        <w:tabs>
          <w:tab w:val="left" w:pos="1747"/>
        </w:tabs>
        <w:spacing w:before="0" w:after="0" w:line="270" w:lineRule="exact"/>
        <w:ind w:left="1747" w:right="0" w:hanging="524"/>
        <w:jc w:val="left"/>
        <w:rPr>
          <w:sz w:val="21"/>
        </w:rPr>
      </w:pPr>
      <w:r>
        <w:rPr>
          <w:sz w:val="21"/>
        </w:rPr>
        <w:t>拟分包计划表（适用于非政府采购与工程建设有关的服务</w:t>
      </w:r>
      <w:r>
        <w:rPr>
          <w:spacing w:val="-110"/>
          <w:sz w:val="21"/>
        </w:rPr>
        <w:t>）</w:t>
      </w:r>
      <w:r>
        <w:rPr>
          <w:spacing w:val="-5"/>
          <w:sz w:val="21"/>
        </w:rPr>
        <w:t>；</w:t>
      </w:r>
    </w:p>
    <w:p w14:paraId="66DC6488">
      <w:pPr>
        <w:pStyle w:val="82"/>
        <w:numPr>
          <w:ilvl w:val="0"/>
          <w:numId w:val="9"/>
        </w:numPr>
        <w:tabs>
          <w:tab w:val="left" w:pos="1747"/>
        </w:tabs>
        <w:spacing w:before="0" w:after="0" w:line="270" w:lineRule="exact"/>
        <w:ind w:left="1747" w:right="0" w:hanging="524"/>
        <w:jc w:val="left"/>
        <w:rPr>
          <w:sz w:val="21"/>
        </w:rPr>
      </w:pPr>
      <w:r>
        <w:rPr>
          <w:sz w:val="21"/>
        </w:rPr>
        <w:t>分包意向协议书（适用于政府采购与工程建设有关的服务</w:t>
      </w:r>
      <w:r>
        <w:rPr>
          <w:spacing w:val="-110"/>
          <w:sz w:val="21"/>
        </w:rPr>
        <w:t>）</w:t>
      </w:r>
      <w:r>
        <w:rPr>
          <w:spacing w:val="-5"/>
          <w:sz w:val="21"/>
        </w:rPr>
        <w:t>；</w:t>
      </w:r>
    </w:p>
    <w:p w14:paraId="463E0591">
      <w:pPr>
        <w:pStyle w:val="82"/>
        <w:numPr>
          <w:ilvl w:val="0"/>
          <w:numId w:val="9"/>
        </w:numPr>
        <w:tabs>
          <w:tab w:val="left" w:pos="1747"/>
        </w:tabs>
        <w:spacing w:before="0" w:after="0" w:line="270" w:lineRule="exact"/>
        <w:ind w:left="1747" w:right="0" w:hanging="524"/>
        <w:jc w:val="left"/>
        <w:rPr>
          <w:sz w:val="21"/>
        </w:rPr>
      </w:pPr>
      <w:r>
        <w:rPr>
          <w:sz w:val="21"/>
        </w:rPr>
        <w:t>中小企业声明函（适用于政府采购与工程建设有关的服务</w:t>
      </w:r>
      <w:r>
        <w:rPr>
          <w:spacing w:val="-110"/>
          <w:sz w:val="21"/>
        </w:rPr>
        <w:t>）</w:t>
      </w:r>
      <w:r>
        <w:rPr>
          <w:spacing w:val="-5"/>
          <w:sz w:val="21"/>
        </w:rPr>
        <w:t>；</w:t>
      </w:r>
    </w:p>
    <w:p w14:paraId="218785F4">
      <w:pPr>
        <w:pStyle w:val="82"/>
        <w:numPr>
          <w:ilvl w:val="0"/>
          <w:numId w:val="9"/>
        </w:numPr>
        <w:tabs>
          <w:tab w:val="left" w:pos="1747"/>
        </w:tabs>
        <w:spacing w:before="0" w:after="0" w:line="272" w:lineRule="exact"/>
        <w:ind w:left="1747" w:right="0" w:hanging="524"/>
        <w:jc w:val="left"/>
        <w:rPr>
          <w:sz w:val="21"/>
        </w:rPr>
      </w:pPr>
      <w:r>
        <w:rPr>
          <w:spacing w:val="-2"/>
          <w:sz w:val="21"/>
        </w:rPr>
        <w:t>资格审查资料；</w:t>
      </w:r>
    </w:p>
    <w:p w14:paraId="34A8D220">
      <w:pPr>
        <w:pStyle w:val="82"/>
        <w:numPr>
          <w:ilvl w:val="0"/>
          <w:numId w:val="9"/>
        </w:numPr>
        <w:tabs>
          <w:tab w:val="left" w:pos="1747"/>
        </w:tabs>
        <w:spacing w:before="12" w:after="0" w:line="272" w:lineRule="exact"/>
        <w:ind w:left="1747" w:right="0" w:hanging="524"/>
        <w:jc w:val="left"/>
        <w:rPr>
          <w:sz w:val="21"/>
        </w:rPr>
      </w:pPr>
      <w:r>
        <w:rPr>
          <w:spacing w:val="-2"/>
          <w:sz w:val="21"/>
        </w:rPr>
        <w:t>投标报价清单；</w:t>
      </w:r>
    </w:p>
    <w:p w14:paraId="321445BD">
      <w:pPr>
        <w:pStyle w:val="82"/>
        <w:numPr>
          <w:ilvl w:val="0"/>
          <w:numId w:val="9"/>
        </w:numPr>
        <w:tabs>
          <w:tab w:val="left" w:pos="1747"/>
        </w:tabs>
        <w:spacing w:before="0" w:after="0" w:line="270" w:lineRule="exact"/>
        <w:ind w:left="1747" w:right="0" w:hanging="524"/>
        <w:jc w:val="left"/>
        <w:rPr>
          <w:sz w:val="21"/>
        </w:rPr>
      </w:pPr>
      <w:r>
        <w:rPr>
          <w:spacing w:val="-2"/>
          <w:sz w:val="21"/>
        </w:rPr>
        <w:t>技术建议书；</w:t>
      </w:r>
    </w:p>
    <w:p w14:paraId="66B6C9DA">
      <w:pPr>
        <w:pStyle w:val="82"/>
        <w:numPr>
          <w:ilvl w:val="0"/>
          <w:numId w:val="9"/>
        </w:numPr>
        <w:tabs>
          <w:tab w:val="left" w:pos="1852"/>
        </w:tabs>
        <w:spacing w:before="0" w:after="0" w:line="270" w:lineRule="exact"/>
        <w:ind w:left="1852" w:right="0" w:hanging="629"/>
        <w:jc w:val="left"/>
        <w:rPr>
          <w:sz w:val="21"/>
        </w:rPr>
      </w:pPr>
      <w:r>
        <w:rPr>
          <w:spacing w:val="-1"/>
          <w:sz w:val="21"/>
        </w:rPr>
        <w:t>投标人须知前附表规定的其他材料。</w:t>
      </w:r>
    </w:p>
    <w:p w14:paraId="2BB2EC8C">
      <w:pPr>
        <w:spacing w:before="0" w:line="272" w:lineRule="exact"/>
        <w:ind w:left="1223" w:right="0" w:firstLine="0"/>
        <w:jc w:val="left"/>
        <w:rPr>
          <w:sz w:val="21"/>
        </w:rPr>
      </w:pPr>
      <w:r>
        <w:rPr>
          <w:spacing w:val="-5"/>
          <w:sz w:val="21"/>
        </w:rPr>
        <w:t>投标人在评标过程中作出的符合法律法规和招标文件规定的澄清确认，构成投标文件的</w:t>
      </w:r>
    </w:p>
    <w:p w14:paraId="20E9EEAE">
      <w:pPr>
        <w:spacing w:after="0" w:line="272" w:lineRule="exact"/>
        <w:jc w:val="left"/>
        <w:rPr>
          <w:sz w:val="21"/>
        </w:rPr>
        <w:sectPr>
          <w:pgSz w:w="11910" w:h="16850"/>
          <w:pgMar w:top="1500" w:right="920" w:bottom="1060" w:left="1000" w:header="0" w:footer="866" w:gutter="0"/>
          <w:cols w:space="720" w:num="1"/>
        </w:sectPr>
      </w:pPr>
    </w:p>
    <w:p w14:paraId="09835D83">
      <w:pPr>
        <w:spacing w:before="52" w:line="271" w:lineRule="exact"/>
        <w:ind w:left="802" w:right="0" w:firstLine="0"/>
        <w:jc w:val="left"/>
        <w:rPr>
          <w:sz w:val="21"/>
        </w:rPr>
      </w:pPr>
      <w:r>
        <w:rPr>
          <w:spacing w:val="-2"/>
          <w:sz w:val="21"/>
        </w:rPr>
        <w:t>组成部分。</w:t>
      </w:r>
    </w:p>
    <w:p w14:paraId="16CBF0F1">
      <w:pPr>
        <w:pStyle w:val="82"/>
        <w:numPr>
          <w:ilvl w:val="2"/>
          <w:numId w:val="3"/>
        </w:numPr>
        <w:tabs>
          <w:tab w:val="left" w:pos="1760"/>
        </w:tabs>
        <w:spacing w:before="0" w:after="0" w:line="270" w:lineRule="exact"/>
        <w:ind w:left="1760" w:right="0" w:hanging="537"/>
        <w:jc w:val="left"/>
        <w:rPr>
          <w:sz w:val="21"/>
        </w:rPr>
      </w:pPr>
      <w:r>
        <w:rPr>
          <w:spacing w:val="-1"/>
          <w:sz w:val="21"/>
        </w:rPr>
        <w:t xml:space="preserve">投标人须知前附表第 </w:t>
      </w:r>
      <w:r>
        <w:rPr>
          <w:rFonts w:ascii="Calibri" w:eastAsia="Calibri"/>
          <w:sz w:val="21"/>
        </w:rPr>
        <w:t>3.4.1</w:t>
      </w:r>
      <w:r>
        <w:rPr>
          <w:rFonts w:ascii="Calibri" w:eastAsia="Calibri"/>
          <w:spacing w:val="53"/>
          <w:sz w:val="21"/>
        </w:rPr>
        <w:t xml:space="preserve"> </w:t>
      </w:r>
      <w:r>
        <w:rPr>
          <w:spacing w:val="-1"/>
          <w:sz w:val="21"/>
        </w:rPr>
        <w:t>项未要求提交投标保证金的，投标文件不包括本章第</w:t>
      </w:r>
    </w:p>
    <w:p w14:paraId="3B23F946">
      <w:pPr>
        <w:spacing w:before="0" w:line="270" w:lineRule="exact"/>
        <w:ind w:left="802" w:right="0" w:firstLine="0"/>
        <w:jc w:val="left"/>
        <w:rPr>
          <w:sz w:val="21"/>
        </w:rPr>
      </w:pPr>
      <w:r>
        <w:rPr>
          <w:rFonts w:ascii="Calibri" w:eastAsia="Calibri"/>
          <w:sz w:val="21"/>
        </w:rPr>
        <w:t>3.1.1</w:t>
      </w:r>
      <w:r>
        <w:rPr>
          <w:sz w:val="21"/>
        </w:rPr>
        <w:t>（</w:t>
      </w:r>
      <w:r>
        <w:rPr>
          <w:rFonts w:ascii="Calibri" w:eastAsia="Calibri"/>
          <w:sz w:val="21"/>
        </w:rPr>
        <w:t>3</w:t>
      </w:r>
      <w:r>
        <w:rPr>
          <w:sz w:val="21"/>
        </w:rPr>
        <w:t>）</w:t>
      </w:r>
      <w:r>
        <w:rPr>
          <w:spacing w:val="-1"/>
          <w:sz w:val="21"/>
        </w:rPr>
        <w:t>目所指的投标保证金。</w:t>
      </w:r>
    </w:p>
    <w:p w14:paraId="7D97CC06">
      <w:pPr>
        <w:pStyle w:val="82"/>
        <w:numPr>
          <w:ilvl w:val="2"/>
          <w:numId w:val="3"/>
        </w:numPr>
        <w:tabs>
          <w:tab w:val="left" w:pos="1713"/>
        </w:tabs>
        <w:spacing w:before="0" w:after="0" w:line="252" w:lineRule="auto"/>
        <w:ind w:left="802" w:right="859" w:firstLine="420"/>
        <w:jc w:val="left"/>
        <w:rPr>
          <w:sz w:val="21"/>
        </w:rPr>
      </w:pPr>
      <w:r>
        <w:rPr>
          <w:spacing w:val="-5"/>
          <w:sz w:val="21"/>
        </w:rPr>
        <w:t xml:space="preserve">投标人须知前附表第 </w:t>
      </w:r>
      <w:r>
        <w:rPr>
          <w:rFonts w:ascii="Calibri" w:eastAsia="Calibri"/>
          <w:sz w:val="21"/>
        </w:rPr>
        <w:t>1.4.2</w:t>
      </w:r>
      <w:r>
        <w:rPr>
          <w:rFonts w:ascii="Calibri" w:eastAsia="Calibri"/>
          <w:spacing w:val="-10"/>
          <w:sz w:val="21"/>
        </w:rPr>
        <w:t xml:space="preserve"> </w:t>
      </w:r>
      <w:r>
        <w:rPr>
          <w:spacing w:val="-5"/>
          <w:sz w:val="21"/>
        </w:rPr>
        <w:t>项规定不接受联合体投标的，或投标人没有组成联合体</w:t>
      </w:r>
      <w:r>
        <w:rPr>
          <w:spacing w:val="-3"/>
          <w:sz w:val="21"/>
        </w:rPr>
        <w:t xml:space="preserve">的，投标文件不包括本章第 </w:t>
      </w:r>
      <w:r>
        <w:rPr>
          <w:rFonts w:ascii="Calibri" w:eastAsia="Calibri"/>
          <w:sz w:val="21"/>
        </w:rPr>
        <w:t>3.1.1</w:t>
      </w:r>
      <w:r>
        <w:rPr>
          <w:sz w:val="21"/>
        </w:rPr>
        <w:t>（</w:t>
      </w:r>
      <w:r>
        <w:rPr>
          <w:rFonts w:ascii="Calibri" w:eastAsia="Calibri"/>
          <w:sz w:val="21"/>
        </w:rPr>
        <w:t>4</w:t>
      </w:r>
      <w:r>
        <w:rPr>
          <w:sz w:val="21"/>
        </w:rPr>
        <w:t>）目所指的联合体协议书。</w:t>
      </w:r>
    </w:p>
    <w:p w14:paraId="766AD625">
      <w:pPr>
        <w:pStyle w:val="82"/>
        <w:numPr>
          <w:ilvl w:val="1"/>
          <w:numId w:val="3"/>
        </w:numPr>
        <w:tabs>
          <w:tab w:val="left" w:pos="1535"/>
        </w:tabs>
        <w:spacing w:before="146" w:after="0" w:line="240" w:lineRule="auto"/>
        <w:ind w:left="1535" w:right="0" w:hanging="448"/>
        <w:jc w:val="left"/>
        <w:rPr>
          <w:rFonts w:ascii="Arial" w:eastAsia="Arial"/>
          <w:sz w:val="24"/>
        </w:rPr>
      </w:pPr>
      <w:bookmarkStart w:id="193" w:name="3.2 投标报价"/>
      <w:bookmarkEnd w:id="193"/>
      <w:r>
        <w:rPr>
          <w:spacing w:val="-3"/>
          <w:sz w:val="24"/>
        </w:rPr>
        <w:t>投标报价</w:t>
      </w:r>
    </w:p>
    <w:p w14:paraId="13B3F21E">
      <w:pPr>
        <w:pStyle w:val="82"/>
        <w:numPr>
          <w:ilvl w:val="2"/>
          <w:numId w:val="3"/>
        </w:numPr>
        <w:tabs>
          <w:tab w:val="left" w:pos="1759"/>
        </w:tabs>
        <w:spacing w:before="139" w:after="0" w:line="352" w:lineRule="auto"/>
        <w:ind w:left="802" w:right="856" w:firstLine="420"/>
        <w:jc w:val="both"/>
        <w:rPr>
          <w:sz w:val="21"/>
        </w:rPr>
      </w:pPr>
      <w:r>
        <w:rPr>
          <w:spacing w:val="-2"/>
          <w:sz w:val="21"/>
        </w:rPr>
        <w:t>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w:t>
      </w:r>
      <w:r>
        <w:rPr>
          <w:rFonts w:ascii="Calibri" w:hAnsi="Calibri" w:eastAsia="Calibri"/>
          <w:spacing w:val="-2"/>
          <w:sz w:val="21"/>
        </w:rPr>
        <w:t>“</w:t>
      </w:r>
      <w:r>
        <w:rPr>
          <w:spacing w:val="-2"/>
          <w:sz w:val="21"/>
        </w:rPr>
        <w:t>投标文件格式</w:t>
      </w:r>
      <w:r>
        <w:rPr>
          <w:rFonts w:ascii="Calibri" w:hAnsi="Calibri" w:eastAsia="Calibri"/>
          <w:spacing w:val="-2"/>
          <w:sz w:val="21"/>
        </w:rPr>
        <w:t>”</w:t>
      </w:r>
      <w:r>
        <w:rPr>
          <w:spacing w:val="-2"/>
          <w:sz w:val="21"/>
        </w:rPr>
        <w:t>的要求在投标函中进行报价并填写投标报价清单相应表格。</w:t>
      </w:r>
    </w:p>
    <w:p w14:paraId="6BAEE476">
      <w:pPr>
        <w:pStyle w:val="82"/>
        <w:numPr>
          <w:ilvl w:val="2"/>
          <w:numId w:val="3"/>
        </w:numPr>
        <w:tabs>
          <w:tab w:val="left" w:pos="1759"/>
        </w:tabs>
        <w:spacing w:before="1" w:after="0" w:line="343" w:lineRule="auto"/>
        <w:ind w:left="802" w:right="856" w:firstLine="420"/>
        <w:jc w:val="both"/>
        <w:rPr>
          <w:sz w:val="21"/>
        </w:rPr>
      </w:pPr>
      <w:r>
        <w:rPr>
          <w:spacing w:val="-2"/>
          <w:sz w:val="21"/>
        </w:rPr>
        <w:t>投标人应充分了解本项目的总体情况以及影响投标报价的其他要素，按照招标文件规定的工作内容和计划工作量，自行测算服务费用。</w:t>
      </w:r>
    </w:p>
    <w:p w14:paraId="6382FF3C">
      <w:pPr>
        <w:pStyle w:val="82"/>
        <w:numPr>
          <w:ilvl w:val="2"/>
          <w:numId w:val="3"/>
        </w:numPr>
        <w:tabs>
          <w:tab w:val="left" w:pos="1759"/>
        </w:tabs>
        <w:spacing w:before="15" w:after="0" w:line="355" w:lineRule="auto"/>
        <w:ind w:left="802" w:right="856" w:firstLine="420"/>
        <w:jc w:val="both"/>
        <w:rPr>
          <w:sz w:val="21"/>
        </w:rPr>
      </w:pPr>
      <w:r>
        <w:rPr>
          <w:spacing w:val="-2"/>
          <w:sz w:val="21"/>
        </w:rPr>
        <w:t>本项目的报价方式见投标人须知前附表。投标人在投标截止时间前修改投标函中的投标报价总额，应同时修改投标文件</w:t>
      </w:r>
      <w:r>
        <w:rPr>
          <w:rFonts w:ascii="Calibri" w:hAnsi="Calibri" w:eastAsia="Calibri"/>
          <w:spacing w:val="-2"/>
          <w:sz w:val="21"/>
        </w:rPr>
        <w:t>“</w:t>
      </w:r>
      <w:r>
        <w:rPr>
          <w:spacing w:val="-2"/>
          <w:sz w:val="21"/>
        </w:rPr>
        <w:t>投标报价清单</w:t>
      </w:r>
      <w:r>
        <w:rPr>
          <w:rFonts w:ascii="Calibri" w:hAnsi="Calibri" w:eastAsia="Calibri"/>
          <w:spacing w:val="-2"/>
          <w:sz w:val="21"/>
        </w:rPr>
        <w:t>”</w:t>
      </w:r>
      <w:r>
        <w:rPr>
          <w:spacing w:val="-2"/>
          <w:sz w:val="21"/>
        </w:rPr>
        <w:t>中的相应报价。此修改须符合本章第</w:t>
      </w:r>
    </w:p>
    <w:p w14:paraId="20BA1D3C">
      <w:pPr>
        <w:spacing w:before="0" w:line="260" w:lineRule="exact"/>
        <w:ind w:left="802" w:right="0" w:firstLine="0"/>
        <w:jc w:val="both"/>
        <w:rPr>
          <w:sz w:val="21"/>
        </w:rPr>
      </w:pPr>
      <w:r>
        <w:rPr>
          <w:rFonts w:ascii="Calibri" w:eastAsia="Calibri"/>
          <w:sz w:val="21"/>
        </w:rPr>
        <w:t>4.3</w:t>
      </w:r>
      <w:r>
        <w:rPr>
          <w:rFonts w:ascii="Calibri" w:eastAsia="Calibri"/>
          <w:spacing w:val="60"/>
          <w:sz w:val="21"/>
        </w:rPr>
        <w:t xml:space="preserve"> </w:t>
      </w:r>
      <w:r>
        <w:rPr>
          <w:spacing w:val="-2"/>
          <w:sz w:val="21"/>
        </w:rPr>
        <w:t>款的有关要求。</w:t>
      </w:r>
    </w:p>
    <w:p w14:paraId="32AD29B8">
      <w:pPr>
        <w:spacing w:before="133" w:line="355" w:lineRule="auto"/>
        <w:ind w:left="802" w:right="876" w:firstLine="420"/>
        <w:jc w:val="left"/>
        <w:rPr>
          <w:sz w:val="21"/>
        </w:rPr>
      </w:pPr>
      <w:r>
        <w:rPr>
          <w:rFonts w:ascii="Calibri" w:eastAsia="Calibri"/>
          <w:sz w:val="21"/>
        </w:rPr>
        <w:t>3.2.4</w:t>
      </w:r>
      <w:r>
        <w:rPr>
          <w:sz w:val="21"/>
        </w:rPr>
        <w:t>（</w:t>
      </w:r>
      <w:r>
        <w:rPr>
          <w:rFonts w:ascii="Calibri" w:eastAsia="Calibri"/>
          <w:sz w:val="21"/>
        </w:rPr>
        <w:t>A</w:t>
      </w:r>
      <w:r>
        <w:rPr>
          <w:sz w:val="21"/>
        </w:rPr>
        <w:t>）</w:t>
      </w:r>
      <w:r>
        <w:rPr>
          <w:spacing w:val="-1"/>
          <w:sz w:val="21"/>
        </w:rPr>
        <w:t xml:space="preserve"> 招标人设有最高投标限价的，投标人的投标报价不得超过最高投标限价，</w:t>
      </w:r>
      <w:r>
        <w:rPr>
          <w:spacing w:val="-2"/>
          <w:sz w:val="21"/>
        </w:rPr>
        <w:t>否则，其投标将被否决。最高投标限价在投标人须知前附表中载明。</w:t>
      </w:r>
    </w:p>
    <w:p w14:paraId="4CC17E1B">
      <w:pPr>
        <w:spacing w:before="0" w:line="355" w:lineRule="auto"/>
        <w:ind w:left="802" w:right="843" w:firstLine="420"/>
        <w:jc w:val="left"/>
        <w:rPr>
          <w:sz w:val="21"/>
        </w:rPr>
      </w:pPr>
      <w:r>
        <w:rPr>
          <w:rFonts w:ascii="Calibri" w:eastAsia="Calibri"/>
          <w:spacing w:val="-2"/>
          <w:sz w:val="21"/>
        </w:rPr>
        <w:t>3.2.4</w:t>
      </w:r>
      <w:r>
        <w:rPr>
          <w:spacing w:val="-2"/>
          <w:sz w:val="21"/>
        </w:rPr>
        <w:t>（</w:t>
      </w:r>
      <w:r>
        <w:rPr>
          <w:rFonts w:ascii="Calibri" w:eastAsia="Calibri"/>
          <w:spacing w:val="-2"/>
          <w:sz w:val="21"/>
        </w:rPr>
        <w:t>B</w:t>
      </w:r>
      <w:r>
        <w:rPr>
          <w:spacing w:val="-2"/>
          <w:sz w:val="21"/>
        </w:rPr>
        <w:t>）招标人设有最低投标限价的，投标人的投标报价不得低于最低投标限价，否则，其投标将被否决。最低投标限价在投标人须知前附表中载明。</w:t>
      </w:r>
    </w:p>
    <w:p w14:paraId="2F39AC9A">
      <w:pPr>
        <w:spacing w:before="0"/>
        <w:ind w:left="1223" w:right="0" w:firstLine="0"/>
        <w:jc w:val="left"/>
        <w:rPr>
          <w:sz w:val="21"/>
        </w:rPr>
      </w:pPr>
      <w:r>
        <w:rPr>
          <w:rFonts w:ascii="Calibri" w:eastAsia="Calibri"/>
          <w:sz w:val="21"/>
        </w:rPr>
        <w:t>3.2.5</w:t>
      </w:r>
      <w:r>
        <w:rPr>
          <w:rFonts w:ascii="Calibri" w:eastAsia="Calibri"/>
          <w:spacing w:val="49"/>
          <w:sz w:val="21"/>
        </w:rPr>
        <w:t xml:space="preserve"> </w:t>
      </w:r>
      <w:r>
        <w:rPr>
          <w:spacing w:val="-1"/>
          <w:sz w:val="21"/>
        </w:rPr>
        <w:t>投标报价的其他要求见投标人须知前附表。</w:t>
      </w:r>
    </w:p>
    <w:p w14:paraId="20214B68">
      <w:pPr>
        <w:pStyle w:val="82"/>
        <w:numPr>
          <w:ilvl w:val="1"/>
          <w:numId w:val="3"/>
        </w:numPr>
        <w:tabs>
          <w:tab w:val="left" w:pos="1641"/>
        </w:tabs>
        <w:spacing w:before="151" w:after="0" w:line="240" w:lineRule="auto"/>
        <w:ind w:left="1641" w:right="0" w:hanging="554"/>
        <w:jc w:val="both"/>
        <w:rPr>
          <w:rFonts w:ascii="Arial" w:eastAsia="Arial"/>
          <w:sz w:val="24"/>
        </w:rPr>
      </w:pPr>
      <w:bookmarkStart w:id="194" w:name="3.3 投标有效期"/>
      <w:bookmarkEnd w:id="194"/>
      <w:r>
        <w:rPr>
          <w:spacing w:val="-2"/>
          <w:sz w:val="24"/>
        </w:rPr>
        <w:t>投标有效期</w:t>
      </w:r>
    </w:p>
    <w:p w14:paraId="09048349">
      <w:pPr>
        <w:pStyle w:val="82"/>
        <w:numPr>
          <w:ilvl w:val="2"/>
          <w:numId w:val="3"/>
        </w:numPr>
        <w:tabs>
          <w:tab w:val="left" w:pos="1745"/>
        </w:tabs>
        <w:spacing w:before="154" w:after="0" w:line="240" w:lineRule="auto"/>
        <w:ind w:left="1745" w:right="0" w:hanging="522"/>
        <w:jc w:val="both"/>
        <w:rPr>
          <w:sz w:val="21"/>
        </w:rPr>
      </w:pPr>
      <w:r>
        <w:rPr>
          <w:spacing w:val="-3"/>
          <w:sz w:val="21"/>
        </w:rPr>
        <w:t xml:space="preserve">除投标人须知前附表另有规定外，投标有效期为 </w:t>
      </w:r>
      <w:r>
        <w:rPr>
          <w:rFonts w:ascii="Calibri" w:eastAsia="Calibri"/>
          <w:sz w:val="21"/>
        </w:rPr>
        <w:t>90</w:t>
      </w:r>
      <w:r>
        <w:rPr>
          <w:rFonts w:ascii="Calibri" w:eastAsia="Calibri"/>
          <w:spacing w:val="9"/>
          <w:sz w:val="21"/>
        </w:rPr>
        <w:t xml:space="preserve"> </w:t>
      </w:r>
      <w:r>
        <w:rPr>
          <w:spacing w:val="-5"/>
          <w:sz w:val="21"/>
        </w:rPr>
        <w:t>日。</w:t>
      </w:r>
    </w:p>
    <w:p w14:paraId="6365592C">
      <w:pPr>
        <w:pStyle w:val="82"/>
        <w:numPr>
          <w:ilvl w:val="2"/>
          <w:numId w:val="3"/>
        </w:numPr>
        <w:tabs>
          <w:tab w:val="left" w:pos="1760"/>
        </w:tabs>
        <w:spacing w:before="118" w:after="0" w:line="240" w:lineRule="auto"/>
        <w:ind w:left="1760" w:right="0" w:hanging="537"/>
        <w:jc w:val="both"/>
        <w:rPr>
          <w:sz w:val="21"/>
        </w:rPr>
      </w:pPr>
      <w:r>
        <w:rPr>
          <w:spacing w:val="-1"/>
          <w:sz w:val="21"/>
        </w:rPr>
        <w:t>在投标有效期内，投标人撤销投标文件的，应承担招标文件和法律规定的责任。</w:t>
      </w:r>
    </w:p>
    <w:p w14:paraId="4B6A8E45">
      <w:pPr>
        <w:pStyle w:val="82"/>
        <w:numPr>
          <w:ilvl w:val="2"/>
          <w:numId w:val="3"/>
        </w:numPr>
        <w:tabs>
          <w:tab w:val="left" w:pos="1759"/>
        </w:tabs>
        <w:spacing w:before="132" w:after="0" w:line="352" w:lineRule="auto"/>
        <w:ind w:left="802" w:right="856" w:firstLine="420"/>
        <w:jc w:val="both"/>
        <w:rPr>
          <w:sz w:val="21"/>
        </w:rPr>
      </w:pPr>
      <w:r>
        <w:rPr>
          <w:spacing w:val="-2"/>
          <w:sz w:val="21"/>
        </w:rPr>
        <w:t>出现特殊情况需要延长投标有效期的，招标人以书面形式通知所有投标人延长投</w:t>
      </w:r>
      <w:r>
        <w:rPr>
          <w:spacing w:val="-3"/>
          <w:sz w:val="21"/>
        </w:rPr>
        <w:t>标有效期。投标人应予以书面答复，同意延长的，应相应延长其投标保证金的有效期，但不</w:t>
      </w:r>
      <w:r>
        <w:rPr>
          <w:spacing w:val="-2"/>
          <w:sz w:val="21"/>
        </w:rPr>
        <w:t>得要求或被允许修改其投标文件；投标人拒绝延长的，其投标失效，但投标人有权收回其投标保证金及以现金形式递交的投标保证金的银行同期活期存款利息。</w:t>
      </w:r>
    </w:p>
    <w:p w14:paraId="682FE9C5">
      <w:pPr>
        <w:pStyle w:val="82"/>
        <w:numPr>
          <w:ilvl w:val="1"/>
          <w:numId w:val="3"/>
        </w:numPr>
        <w:tabs>
          <w:tab w:val="left" w:pos="1762"/>
        </w:tabs>
        <w:spacing w:before="46" w:after="0" w:line="240" w:lineRule="auto"/>
        <w:ind w:left="1762" w:right="0" w:hanging="675"/>
        <w:jc w:val="both"/>
        <w:rPr>
          <w:rFonts w:ascii="Arial" w:eastAsia="Arial"/>
          <w:sz w:val="24"/>
        </w:rPr>
      </w:pPr>
      <w:bookmarkStart w:id="195" w:name="3.4  投标保证金"/>
      <w:bookmarkEnd w:id="195"/>
      <w:r>
        <w:rPr>
          <w:spacing w:val="-2"/>
          <w:sz w:val="24"/>
        </w:rPr>
        <w:t>投标保证金</w:t>
      </w:r>
    </w:p>
    <w:p w14:paraId="0044A27A">
      <w:pPr>
        <w:pStyle w:val="82"/>
        <w:numPr>
          <w:ilvl w:val="2"/>
          <w:numId w:val="3"/>
        </w:numPr>
        <w:tabs>
          <w:tab w:val="left" w:pos="1759"/>
        </w:tabs>
        <w:spacing w:before="139" w:after="0" w:line="350" w:lineRule="auto"/>
        <w:ind w:left="802" w:right="856" w:firstLine="420"/>
        <w:jc w:val="both"/>
        <w:rPr>
          <w:sz w:val="21"/>
        </w:rPr>
      </w:pPr>
      <w:r>
        <w:rPr>
          <w:spacing w:val="-2"/>
          <w:sz w:val="21"/>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39242D9D">
      <w:pPr>
        <w:pStyle w:val="82"/>
        <w:numPr>
          <w:ilvl w:val="2"/>
          <w:numId w:val="3"/>
        </w:numPr>
        <w:tabs>
          <w:tab w:val="left" w:pos="1745"/>
        </w:tabs>
        <w:spacing w:before="5" w:after="0" w:line="240" w:lineRule="auto"/>
        <w:ind w:left="1745" w:right="0" w:hanging="522"/>
        <w:jc w:val="left"/>
        <w:rPr>
          <w:sz w:val="21"/>
        </w:rPr>
      </w:pPr>
      <w:r>
        <w:rPr>
          <w:spacing w:val="-5"/>
          <w:sz w:val="21"/>
        </w:rPr>
        <w:t xml:space="preserve">投标人不按本章第 </w:t>
      </w:r>
      <w:r>
        <w:rPr>
          <w:rFonts w:ascii="Calibri" w:eastAsia="Calibri"/>
          <w:sz w:val="21"/>
        </w:rPr>
        <w:t>3.4.1</w:t>
      </w:r>
      <w:r>
        <w:rPr>
          <w:rFonts w:ascii="Calibri" w:eastAsia="Calibri"/>
          <w:spacing w:val="17"/>
          <w:sz w:val="21"/>
        </w:rPr>
        <w:t xml:space="preserve"> </w:t>
      </w:r>
      <w:r>
        <w:rPr>
          <w:spacing w:val="-1"/>
          <w:sz w:val="21"/>
        </w:rPr>
        <w:t>项要求提交投标保证金的，评标委员会将否决其投标。</w:t>
      </w:r>
    </w:p>
    <w:p w14:paraId="4B8573F0">
      <w:pPr>
        <w:pStyle w:val="82"/>
        <w:numPr>
          <w:ilvl w:val="2"/>
          <w:numId w:val="3"/>
        </w:numPr>
        <w:tabs>
          <w:tab w:val="left" w:pos="1745"/>
        </w:tabs>
        <w:spacing w:before="132" w:after="0" w:line="240" w:lineRule="auto"/>
        <w:ind w:left="1745" w:right="0" w:hanging="522"/>
        <w:jc w:val="left"/>
        <w:rPr>
          <w:sz w:val="21"/>
        </w:rPr>
      </w:pPr>
      <w:r>
        <w:rPr>
          <w:spacing w:val="-3"/>
          <w:sz w:val="21"/>
        </w:rPr>
        <w:t>投标保证金及利息的退还方式见投标人须知前附表。</w:t>
      </w:r>
    </w:p>
    <w:p w14:paraId="4B16D888">
      <w:pPr>
        <w:pStyle w:val="82"/>
        <w:numPr>
          <w:ilvl w:val="2"/>
          <w:numId w:val="3"/>
        </w:numPr>
        <w:tabs>
          <w:tab w:val="left" w:pos="1745"/>
        </w:tabs>
        <w:spacing w:before="118" w:after="0" w:line="240" w:lineRule="auto"/>
        <w:ind w:left="1745" w:right="0" w:hanging="522"/>
        <w:jc w:val="left"/>
        <w:rPr>
          <w:sz w:val="21"/>
        </w:rPr>
      </w:pPr>
      <w:r>
        <w:rPr>
          <w:spacing w:val="-1"/>
          <w:sz w:val="21"/>
        </w:rPr>
        <w:t>有下列情形之一的，投标保证金将不予退还：</w:t>
      </w:r>
    </w:p>
    <w:p w14:paraId="37A4FE6B">
      <w:pPr>
        <w:pStyle w:val="82"/>
        <w:numPr>
          <w:ilvl w:val="0"/>
          <w:numId w:val="10"/>
        </w:numPr>
        <w:tabs>
          <w:tab w:val="left" w:pos="1747"/>
        </w:tabs>
        <w:spacing w:before="132" w:after="0" w:line="240" w:lineRule="auto"/>
        <w:ind w:left="1747" w:right="0" w:hanging="524"/>
        <w:jc w:val="left"/>
        <w:rPr>
          <w:sz w:val="21"/>
        </w:rPr>
      </w:pPr>
      <w:r>
        <w:rPr>
          <w:spacing w:val="-1"/>
          <w:sz w:val="21"/>
        </w:rPr>
        <w:t>投标人在投标有效期内撤销投标文件；</w:t>
      </w:r>
    </w:p>
    <w:p w14:paraId="45C163B9">
      <w:pPr>
        <w:spacing w:after="0" w:line="240" w:lineRule="auto"/>
        <w:jc w:val="left"/>
        <w:rPr>
          <w:sz w:val="21"/>
        </w:rPr>
        <w:sectPr>
          <w:pgSz w:w="11910" w:h="16850"/>
          <w:pgMar w:top="1380" w:right="920" w:bottom="1060" w:left="1000" w:header="0" w:footer="866" w:gutter="0"/>
          <w:cols w:space="720" w:num="1"/>
        </w:sectPr>
      </w:pPr>
    </w:p>
    <w:p w14:paraId="35CAFFC6">
      <w:pPr>
        <w:pStyle w:val="82"/>
        <w:numPr>
          <w:ilvl w:val="0"/>
          <w:numId w:val="10"/>
        </w:numPr>
        <w:tabs>
          <w:tab w:val="left" w:pos="1746"/>
        </w:tabs>
        <w:spacing w:before="52" w:after="0" w:line="355" w:lineRule="auto"/>
        <w:ind w:left="802" w:right="873" w:firstLine="420"/>
        <w:jc w:val="left"/>
        <w:rPr>
          <w:sz w:val="21"/>
        </w:rPr>
      </w:pPr>
      <w:r>
        <w:rPr>
          <w:spacing w:val="-2"/>
          <w:sz w:val="21"/>
        </w:rPr>
        <w:t>中标人在收到中标通知书后，无正当理由不与招标人订立合同，在签订合同时向招标人提出附加条件，或不按照招标文件要求提交履约保证金；</w:t>
      </w:r>
    </w:p>
    <w:p w14:paraId="0E2B84F7">
      <w:pPr>
        <w:pStyle w:val="82"/>
        <w:numPr>
          <w:ilvl w:val="0"/>
          <w:numId w:val="10"/>
        </w:numPr>
        <w:tabs>
          <w:tab w:val="left" w:pos="1747"/>
        </w:tabs>
        <w:spacing w:before="0" w:after="0" w:line="260" w:lineRule="exact"/>
        <w:ind w:left="1747" w:right="0" w:hanging="524"/>
        <w:jc w:val="left"/>
        <w:rPr>
          <w:sz w:val="21"/>
        </w:rPr>
      </w:pPr>
      <w:r>
        <w:rPr>
          <w:spacing w:val="-1"/>
          <w:sz w:val="21"/>
        </w:rPr>
        <w:t>发生投标人须知前附表规定的其他可以不予退还投标保证金的情形。</w:t>
      </w:r>
    </w:p>
    <w:p w14:paraId="0404C762">
      <w:pPr>
        <w:pStyle w:val="82"/>
        <w:numPr>
          <w:ilvl w:val="1"/>
          <w:numId w:val="3"/>
        </w:numPr>
        <w:tabs>
          <w:tab w:val="left" w:pos="1763"/>
        </w:tabs>
        <w:spacing w:before="177" w:after="0" w:line="240" w:lineRule="auto"/>
        <w:ind w:left="1763" w:right="0" w:hanging="676"/>
        <w:jc w:val="left"/>
        <w:rPr>
          <w:rFonts w:ascii="Arial" w:eastAsia="Arial"/>
          <w:sz w:val="24"/>
        </w:rPr>
      </w:pPr>
      <w:bookmarkStart w:id="196" w:name="3.5  资格审查资料"/>
      <w:bookmarkEnd w:id="196"/>
      <w:r>
        <w:rPr>
          <w:spacing w:val="-2"/>
          <w:sz w:val="24"/>
        </w:rPr>
        <w:t>资格审查资料</w:t>
      </w:r>
    </w:p>
    <w:p w14:paraId="63E94A7F">
      <w:pPr>
        <w:spacing w:before="139" w:line="355" w:lineRule="auto"/>
        <w:ind w:left="802" w:right="802" w:firstLine="420"/>
        <w:jc w:val="both"/>
        <w:rPr>
          <w:sz w:val="21"/>
        </w:rPr>
      </w:pPr>
      <w:r>
        <w:rPr>
          <w:spacing w:val="-1"/>
          <w:sz w:val="21"/>
        </w:rPr>
        <w:t xml:space="preserve">投标人应按下列规定提供资格审查资料，以证明其满足本章第 </w:t>
      </w:r>
      <w:r>
        <w:rPr>
          <w:rFonts w:ascii="Calibri" w:eastAsia="Calibri"/>
          <w:sz w:val="21"/>
        </w:rPr>
        <w:t>1.4</w:t>
      </w:r>
      <w:r>
        <w:rPr>
          <w:rFonts w:ascii="Calibri" w:eastAsia="Calibri"/>
          <w:spacing w:val="-12"/>
          <w:sz w:val="21"/>
        </w:rPr>
        <w:t xml:space="preserve"> </w:t>
      </w:r>
      <w:r>
        <w:rPr>
          <w:sz w:val="21"/>
        </w:rPr>
        <w:t>款规定的资质条件、</w:t>
      </w:r>
      <w:r>
        <w:rPr>
          <w:spacing w:val="-2"/>
          <w:sz w:val="21"/>
        </w:rPr>
        <w:t>能力和信誉等要求。</w:t>
      </w:r>
    </w:p>
    <w:p w14:paraId="289CDE8B">
      <w:pPr>
        <w:pStyle w:val="82"/>
        <w:numPr>
          <w:ilvl w:val="2"/>
          <w:numId w:val="3"/>
        </w:numPr>
        <w:tabs>
          <w:tab w:val="left" w:pos="1699"/>
        </w:tabs>
        <w:spacing w:before="3" w:after="0" w:line="240" w:lineRule="auto"/>
        <w:ind w:left="1699" w:right="0" w:hanging="476"/>
        <w:jc w:val="both"/>
        <w:rPr>
          <w:sz w:val="21"/>
        </w:rPr>
      </w:pPr>
      <w:r>
        <w:rPr>
          <w:rFonts w:ascii="Calibri" w:hAnsi="Calibri" w:eastAsia="Calibri"/>
          <w:sz w:val="21"/>
        </w:rPr>
        <w:t>“</w:t>
      </w:r>
      <w:r>
        <w:rPr>
          <w:sz w:val="21"/>
        </w:rPr>
        <w:t>投标人基本情况表</w:t>
      </w:r>
      <w:r>
        <w:rPr>
          <w:rFonts w:ascii="Calibri" w:hAnsi="Calibri" w:eastAsia="Calibri"/>
          <w:sz w:val="21"/>
        </w:rPr>
        <w:t>”</w:t>
      </w:r>
      <w:r>
        <w:rPr>
          <w:spacing w:val="-1"/>
          <w:sz w:val="21"/>
        </w:rPr>
        <w:t>应附资料见投标人须知前附表。</w:t>
      </w:r>
    </w:p>
    <w:p w14:paraId="5E4B8AE2">
      <w:pPr>
        <w:pStyle w:val="82"/>
        <w:numPr>
          <w:ilvl w:val="2"/>
          <w:numId w:val="3"/>
        </w:numPr>
        <w:tabs>
          <w:tab w:val="left" w:pos="1758"/>
        </w:tabs>
        <w:spacing w:before="117" w:after="0" w:line="352" w:lineRule="auto"/>
        <w:ind w:left="802" w:right="860" w:firstLine="420"/>
        <w:jc w:val="both"/>
        <w:rPr>
          <w:sz w:val="21"/>
        </w:rPr>
      </w:pPr>
      <w:r>
        <w:rPr>
          <w:rFonts w:ascii="Calibri" w:hAnsi="Calibri" w:eastAsia="Calibri"/>
          <w:sz w:val="21"/>
        </w:rPr>
        <w:t>“</w:t>
      </w:r>
      <w:r>
        <w:rPr>
          <w:sz w:val="21"/>
        </w:rPr>
        <w:t>近年财务状况表</w:t>
      </w:r>
      <w:r>
        <w:rPr>
          <w:rFonts w:ascii="Calibri" w:hAnsi="Calibri" w:eastAsia="Calibri"/>
          <w:sz w:val="21"/>
        </w:rPr>
        <w:t>”</w:t>
      </w:r>
      <w:r>
        <w:rPr>
          <w:sz w:val="21"/>
        </w:rPr>
        <w:t>应附经会计师事务所或审计机构审计的财务会计报表，包括资</w:t>
      </w:r>
      <w:r>
        <w:rPr>
          <w:spacing w:val="-4"/>
          <w:sz w:val="21"/>
        </w:rPr>
        <w:t>产负债表、现金流量表、利润表和财务情况说明书的扫描件，具体年份要求见投标人须知前</w:t>
      </w:r>
      <w:r>
        <w:rPr>
          <w:spacing w:val="-2"/>
          <w:sz w:val="21"/>
        </w:rPr>
        <w:t>附表。 投标人的成立时间少于投标人须知前附表规定年份的，应提供成立以来的财务状况</w:t>
      </w:r>
      <w:r>
        <w:rPr>
          <w:spacing w:val="-6"/>
          <w:sz w:val="21"/>
        </w:rPr>
        <w:t>表。</w:t>
      </w:r>
    </w:p>
    <w:p w14:paraId="19FC74BC">
      <w:pPr>
        <w:pStyle w:val="82"/>
        <w:numPr>
          <w:ilvl w:val="2"/>
          <w:numId w:val="3"/>
        </w:numPr>
        <w:tabs>
          <w:tab w:val="left" w:pos="1758"/>
        </w:tabs>
        <w:spacing w:before="2" w:after="0" w:line="355" w:lineRule="auto"/>
        <w:ind w:left="802" w:right="875" w:firstLine="420"/>
        <w:jc w:val="both"/>
        <w:rPr>
          <w:sz w:val="21"/>
        </w:rPr>
      </w:pPr>
      <w:r>
        <w:rPr>
          <w:rFonts w:ascii="Calibri" w:hAnsi="Calibri" w:eastAsia="Calibri"/>
          <w:sz w:val="21"/>
        </w:rPr>
        <w:t>“</w:t>
      </w:r>
      <w:r>
        <w:rPr>
          <w:sz w:val="21"/>
        </w:rPr>
        <w:t>近年完成的类似项目情况表</w:t>
      </w:r>
      <w:r>
        <w:rPr>
          <w:rFonts w:ascii="Calibri" w:hAnsi="Calibri" w:eastAsia="Calibri"/>
          <w:sz w:val="21"/>
        </w:rPr>
        <w:t>”</w:t>
      </w:r>
      <w:r>
        <w:rPr>
          <w:sz w:val="21"/>
        </w:rPr>
        <w:t>应附资料和具体时间要求见投标人须知前附表，每</w:t>
      </w:r>
      <w:r>
        <w:rPr>
          <w:spacing w:val="-2"/>
          <w:sz w:val="21"/>
        </w:rPr>
        <w:t>张表格只填写一个项目，并标明序号。</w:t>
      </w:r>
    </w:p>
    <w:p w14:paraId="004E85D7">
      <w:pPr>
        <w:spacing w:before="0" w:line="260" w:lineRule="exact"/>
        <w:ind w:left="1223" w:right="0" w:firstLine="0"/>
        <w:jc w:val="left"/>
        <w:rPr>
          <w:sz w:val="21"/>
        </w:rPr>
      </w:pPr>
      <w:r>
        <w:rPr>
          <w:spacing w:val="-1"/>
          <w:sz w:val="21"/>
        </w:rPr>
        <w:t>本招标文件中“类似项目”的定义见投标人须知前附表。</w:t>
      </w:r>
    </w:p>
    <w:p w14:paraId="0BA8B255">
      <w:pPr>
        <w:pStyle w:val="82"/>
        <w:numPr>
          <w:ilvl w:val="2"/>
          <w:numId w:val="3"/>
        </w:numPr>
        <w:tabs>
          <w:tab w:val="left" w:pos="1698"/>
        </w:tabs>
        <w:spacing w:before="132" w:after="0" w:line="357" w:lineRule="auto"/>
        <w:ind w:left="802" w:right="860" w:firstLine="420"/>
        <w:jc w:val="left"/>
        <w:rPr>
          <w:sz w:val="21"/>
        </w:rPr>
      </w:pPr>
      <w:r>
        <w:rPr>
          <w:rFonts w:ascii="Calibri" w:hAnsi="Calibri" w:eastAsia="Calibri"/>
          <w:sz w:val="21"/>
        </w:rPr>
        <w:t>“</w:t>
      </w:r>
      <w:r>
        <w:rPr>
          <w:sz w:val="21"/>
        </w:rPr>
        <w:t>正在服务和新承接的项目情况表</w:t>
      </w:r>
      <w:r>
        <w:rPr>
          <w:rFonts w:ascii="Calibri" w:hAnsi="Calibri" w:eastAsia="Calibri"/>
          <w:spacing w:val="14"/>
          <w:sz w:val="21"/>
        </w:rPr>
        <w:t xml:space="preserve">” </w:t>
      </w:r>
      <w:r>
        <w:rPr>
          <w:sz w:val="21"/>
        </w:rPr>
        <w:t>应附资料见投标人须知前附表，每张表格只填</w:t>
      </w:r>
      <w:r>
        <w:rPr>
          <w:spacing w:val="-2"/>
          <w:sz w:val="21"/>
        </w:rPr>
        <w:t>写一个项目，并标明序号。</w:t>
      </w:r>
    </w:p>
    <w:p w14:paraId="30ED387D">
      <w:pPr>
        <w:pStyle w:val="82"/>
        <w:numPr>
          <w:ilvl w:val="2"/>
          <w:numId w:val="3"/>
        </w:numPr>
        <w:tabs>
          <w:tab w:val="left" w:pos="1699"/>
        </w:tabs>
        <w:spacing w:before="0" w:after="0" w:line="255" w:lineRule="exact"/>
        <w:ind w:left="1699" w:right="0" w:hanging="476"/>
        <w:jc w:val="left"/>
        <w:rPr>
          <w:sz w:val="21"/>
        </w:rPr>
      </w:pPr>
      <w:r>
        <w:rPr>
          <w:rFonts w:ascii="Calibri" w:hAnsi="Calibri" w:eastAsia="Calibri"/>
          <w:spacing w:val="-2"/>
          <w:sz w:val="21"/>
        </w:rPr>
        <w:t>“</w:t>
      </w:r>
      <w:r>
        <w:rPr>
          <w:spacing w:val="-2"/>
          <w:sz w:val="21"/>
        </w:rPr>
        <w:t>近年发生的诉讼及仲裁情况</w:t>
      </w:r>
      <w:r>
        <w:rPr>
          <w:rFonts w:ascii="Calibri" w:hAnsi="Calibri" w:eastAsia="Calibri"/>
          <w:spacing w:val="-2"/>
          <w:sz w:val="21"/>
        </w:rPr>
        <w:t>”</w:t>
      </w:r>
      <w:r>
        <w:rPr>
          <w:spacing w:val="-3"/>
          <w:sz w:val="21"/>
        </w:rPr>
        <w:t>应说明相关情况，并附法院或仲裁机构作出的判决、</w:t>
      </w:r>
    </w:p>
    <w:p w14:paraId="5293F80A">
      <w:pPr>
        <w:spacing w:before="132"/>
        <w:ind w:left="802" w:right="0" w:firstLine="0"/>
        <w:jc w:val="left"/>
        <w:rPr>
          <w:sz w:val="21"/>
        </w:rPr>
      </w:pPr>
      <w:r>
        <w:rPr>
          <w:spacing w:val="-1"/>
          <w:sz w:val="21"/>
        </w:rPr>
        <w:t>裁决等有关法律文书扫描件，具体时间要求见投标人须知前附表。</w:t>
      </w:r>
    </w:p>
    <w:p w14:paraId="3E3EDAD8">
      <w:pPr>
        <w:pStyle w:val="82"/>
        <w:numPr>
          <w:ilvl w:val="2"/>
          <w:numId w:val="3"/>
        </w:numPr>
        <w:tabs>
          <w:tab w:val="left" w:pos="1728"/>
        </w:tabs>
        <w:spacing w:before="133" w:after="0" w:line="343" w:lineRule="auto"/>
        <w:ind w:left="802" w:right="862" w:firstLine="420"/>
        <w:jc w:val="both"/>
        <w:rPr>
          <w:sz w:val="21"/>
        </w:rPr>
      </w:pPr>
      <w:r>
        <w:rPr>
          <w:rFonts w:ascii="Calibri" w:hAnsi="Calibri" w:eastAsia="Calibri"/>
          <w:spacing w:val="-2"/>
          <w:sz w:val="21"/>
        </w:rPr>
        <w:t>“</w:t>
      </w:r>
      <w:r>
        <w:rPr>
          <w:spacing w:val="-2"/>
          <w:sz w:val="21"/>
        </w:rPr>
        <w:t>投标人信誉声明</w:t>
      </w:r>
      <w:r>
        <w:rPr>
          <w:rFonts w:ascii="Calibri" w:hAnsi="Calibri" w:eastAsia="Calibri"/>
          <w:spacing w:val="-2"/>
          <w:sz w:val="21"/>
        </w:rPr>
        <w:t>”</w:t>
      </w:r>
      <w:r>
        <w:rPr>
          <w:spacing w:val="-6"/>
          <w:sz w:val="21"/>
        </w:rPr>
        <w:t xml:space="preserve">应针对本章第 </w:t>
      </w:r>
      <w:r>
        <w:rPr>
          <w:rFonts w:ascii="Calibri" w:hAnsi="Calibri" w:eastAsia="Calibri"/>
          <w:spacing w:val="-2"/>
          <w:sz w:val="21"/>
        </w:rPr>
        <w:t>1.4.3</w:t>
      </w:r>
      <w:r>
        <w:rPr>
          <w:rFonts w:ascii="Calibri" w:hAnsi="Calibri" w:eastAsia="Calibri"/>
          <w:spacing w:val="12"/>
          <w:sz w:val="21"/>
        </w:rPr>
        <w:t xml:space="preserve"> </w:t>
      </w:r>
      <w:r>
        <w:rPr>
          <w:spacing w:val="-8"/>
          <w:sz w:val="21"/>
        </w:rPr>
        <w:t xml:space="preserve">项和第 </w:t>
      </w:r>
      <w:r>
        <w:rPr>
          <w:rFonts w:ascii="Calibri" w:hAnsi="Calibri" w:eastAsia="Calibri"/>
          <w:spacing w:val="-2"/>
          <w:sz w:val="21"/>
        </w:rPr>
        <w:t>1.4.1</w:t>
      </w:r>
      <w:r>
        <w:rPr>
          <w:spacing w:val="-2"/>
          <w:sz w:val="21"/>
        </w:rPr>
        <w:t>（</w:t>
      </w:r>
      <w:r>
        <w:rPr>
          <w:rFonts w:ascii="Calibri" w:hAnsi="Calibri" w:eastAsia="Calibri"/>
          <w:spacing w:val="-2"/>
          <w:sz w:val="21"/>
        </w:rPr>
        <w:t>4</w:t>
      </w:r>
      <w:r>
        <w:rPr>
          <w:spacing w:val="-2"/>
          <w:sz w:val="21"/>
        </w:rPr>
        <w:t>）目的要求，对其信誉情况做出说明，应附资料见投标人须知前附表。</w:t>
      </w:r>
    </w:p>
    <w:p w14:paraId="578DD1CC">
      <w:pPr>
        <w:pStyle w:val="82"/>
        <w:numPr>
          <w:ilvl w:val="2"/>
          <w:numId w:val="3"/>
        </w:numPr>
        <w:tabs>
          <w:tab w:val="left" w:pos="1758"/>
        </w:tabs>
        <w:spacing w:before="15" w:after="0" w:line="350" w:lineRule="auto"/>
        <w:ind w:left="802" w:right="861" w:firstLine="420"/>
        <w:jc w:val="both"/>
        <w:rPr>
          <w:sz w:val="21"/>
        </w:rPr>
      </w:pPr>
      <w:r>
        <w:rPr>
          <w:rFonts w:ascii="Calibri" w:hAnsi="Calibri" w:eastAsia="Calibri"/>
          <w:sz w:val="21"/>
        </w:rPr>
        <w:t>“</w:t>
      </w:r>
      <w:r>
        <w:rPr>
          <w:sz w:val="21"/>
        </w:rPr>
        <w:t>拟委任的主要人员汇总表</w:t>
      </w:r>
      <w:r>
        <w:rPr>
          <w:rFonts w:ascii="Calibri" w:hAnsi="Calibri" w:eastAsia="Calibri"/>
          <w:sz w:val="21"/>
        </w:rPr>
        <w:t>”</w:t>
      </w:r>
      <w:r>
        <w:rPr>
          <w:spacing w:val="-4"/>
          <w:sz w:val="21"/>
        </w:rPr>
        <w:t xml:space="preserve">应填报满足本章第 </w:t>
      </w:r>
      <w:r>
        <w:rPr>
          <w:rFonts w:ascii="Calibri" w:hAnsi="Calibri" w:eastAsia="Calibri"/>
          <w:sz w:val="21"/>
        </w:rPr>
        <w:t>1.4.1</w:t>
      </w:r>
      <w:r>
        <w:rPr>
          <w:rFonts w:ascii="Calibri" w:hAnsi="Calibri" w:eastAsia="Calibri"/>
          <w:spacing w:val="-12"/>
          <w:sz w:val="21"/>
        </w:rPr>
        <w:t xml:space="preserve"> </w:t>
      </w:r>
      <w:r>
        <w:rPr>
          <w:spacing w:val="35"/>
          <w:sz w:val="21"/>
        </w:rPr>
        <w:t>（</w:t>
      </w:r>
      <w:r>
        <w:rPr>
          <w:rFonts w:ascii="Calibri" w:hAnsi="Calibri" w:eastAsia="Calibri"/>
          <w:spacing w:val="33"/>
          <w:sz w:val="21"/>
        </w:rPr>
        <w:t>5</w:t>
      </w:r>
      <w:r>
        <w:rPr>
          <w:spacing w:val="-70"/>
          <w:sz w:val="21"/>
        </w:rPr>
        <w:t>）</w:t>
      </w:r>
      <w:r>
        <w:rPr>
          <w:spacing w:val="-105"/>
          <w:sz w:val="21"/>
        </w:rPr>
        <w:t>、</w:t>
      </w:r>
      <w:r>
        <w:rPr>
          <w:sz w:val="21"/>
        </w:rPr>
        <w:t>（</w:t>
      </w:r>
      <w:r>
        <w:rPr>
          <w:rFonts w:ascii="Calibri" w:hAnsi="Calibri" w:eastAsia="Calibri"/>
          <w:sz w:val="21"/>
        </w:rPr>
        <w:t>6</w:t>
      </w:r>
      <w:r>
        <w:rPr>
          <w:sz w:val="21"/>
        </w:rPr>
        <w:t>）目规定的项目负</w:t>
      </w:r>
      <w:r>
        <w:rPr>
          <w:spacing w:val="-7"/>
          <w:sz w:val="21"/>
        </w:rPr>
        <w:t>责人和其他主要人员的相关信息。</w:t>
      </w:r>
      <w:r>
        <w:rPr>
          <w:rFonts w:ascii="Calibri" w:hAnsi="Calibri" w:eastAsia="Calibri"/>
          <w:spacing w:val="-2"/>
          <w:sz w:val="21"/>
        </w:rPr>
        <w:t>“</w:t>
      </w:r>
      <w:r>
        <w:rPr>
          <w:spacing w:val="-2"/>
          <w:sz w:val="21"/>
        </w:rPr>
        <w:t>主要人员简历表</w:t>
      </w:r>
      <w:r>
        <w:rPr>
          <w:rFonts w:ascii="Calibri" w:hAnsi="Calibri" w:eastAsia="Calibri"/>
          <w:spacing w:val="-2"/>
          <w:sz w:val="21"/>
        </w:rPr>
        <w:t>”</w:t>
      </w:r>
      <w:r>
        <w:rPr>
          <w:spacing w:val="-2"/>
          <w:sz w:val="21"/>
        </w:rPr>
        <w:t>中项目负责人和其他主要人员应附资料见投标人须知前附表。</w:t>
      </w:r>
    </w:p>
    <w:p w14:paraId="4BD560A8">
      <w:pPr>
        <w:pStyle w:val="82"/>
        <w:numPr>
          <w:ilvl w:val="2"/>
          <w:numId w:val="3"/>
        </w:numPr>
        <w:tabs>
          <w:tab w:val="left" w:pos="1699"/>
        </w:tabs>
        <w:spacing w:before="5" w:after="0" w:line="357" w:lineRule="auto"/>
        <w:ind w:left="802" w:right="759" w:firstLine="420"/>
        <w:jc w:val="both"/>
        <w:rPr>
          <w:sz w:val="21"/>
        </w:rPr>
      </w:pPr>
      <w:r>
        <w:rPr>
          <w:rFonts w:ascii="Calibri" w:hAnsi="Calibri" w:eastAsia="Calibri"/>
          <w:spacing w:val="-2"/>
          <w:sz w:val="21"/>
        </w:rPr>
        <w:t>“</w:t>
      </w:r>
      <w:r>
        <w:rPr>
          <w:spacing w:val="-2"/>
          <w:sz w:val="21"/>
        </w:rPr>
        <w:t>其他要求资格审查资料</w:t>
      </w:r>
      <w:r>
        <w:rPr>
          <w:rFonts w:ascii="Calibri" w:hAnsi="Calibri" w:eastAsia="Calibri"/>
          <w:spacing w:val="-2"/>
          <w:sz w:val="21"/>
        </w:rPr>
        <w:t>”</w:t>
      </w:r>
      <w:r>
        <w:rPr>
          <w:spacing w:val="-3"/>
          <w:sz w:val="21"/>
        </w:rPr>
        <w:t xml:space="preserve">应填报满足本章第 </w:t>
      </w:r>
      <w:r>
        <w:rPr>
          <w:rFonts w:ascii="Calibri" w:hAnsi="Calibri" w:eastAsia="Calibri"/>
          <w:spacing w:val="-2"/>
          <w:sz w:val="21"/>
        </w:rPr>
        <w:t>1.4.1</w:t>
      </w:r>
      <w:r>
        <w:rPr>
          <w:rFonts w:ascii="Calibri" w:hAnsi="Calibri" w:eastAsia="Calibri"/>
          <w:spacing w:val="-5"/>
          <w:sz w:val="21"/>
        </w:rPr>
        <w:t xml:space="preserve"> </w:t>
      </w:r>
      <w:r>
        <w:rPr>
          <w:spacing w:val="-2"/>
          <w:sz w:val="21"/>
        </w:rPr>
        <w:t>（</w:t>
      </w:r>
      <w:r>
        <w:rPr>
          <w:rFonts w:ascii="Calibri" w:hAnsi="Calibri" w:eastAsia="Calibri"/>
          <w:spacing w:val="-2"/>
          <w:sz w:val="21"/>
        </w:rPr>
        <w:t>7</w:t>
      </w:r>
      <w:r>
        <w:rPr>
          <w:spacing w:val="-2"/>
          <w:sz w:val="21"/>
        </w:rPr>
        <w:t>）目规定的内容的相关信息，应附资料见投标人须知前附表。</w:t>
      </w:r>
    </w:p>
    <w:p w14:paraId="5986685E">
      <w:pPr>
        <w:pStyle w:val="82"/>
        <w:numPr>
          <w:ilvl w:val="2"/>
          <w:numId w:val="3"/>
        </w:numPr>
        <w:tabs>
          <w:tab w:val="left" w:pos="1760"/>
        </w:tabs>
        <w:spacing w:before="0" w:after="0" w:line="255" w:lineRule="exact"/>
        <w:ind w:left="1760" w:right="0" w:hanging="537"/>
        <w:jc w:val="both"/>
        <w:rPr>
          <w:rFonts w:ascii="Calibri" w:eastAsia="Calibri"/>
          <w:sz w:val="21"/>
        </w:rPr>
      </w:pPr>
      <w:r>
        <w:rPr>
          <w:spacing w:val="-5"/>
          <w:sz w:val="21"/>
        </w:rPr>
        <w:t xml:space="preserve">投标人须知前附表第 </w:t>
      </w:r>
      <w:r>
        <w:rPr>
          <w:rFonts w:ascii="Calibri" w:eastAsia="Calibri"/>
          <w:sz w:val="21"/>
        </w:rPr>
        <w:t>1.4.2</w:t>
      </w:r>
      <w:r>
        <w:rPr>
          <w:rFonts w:ascii="Calibri" w:eastAsia="Calibri"/>
          <w:spacing w:val="2"/>
          <w:sz w:val="21"/>
        </w:rPr>
        <w:t xml:space="preserve"> </w:t>
      </w:r>
      <w:r>
        <w:rPr>
          <w:spacing w:val="-1"/>
          <w:sz w:val="21"/>
        </w:rPr>
        <w:t xml:space="preserve">项规定接受联合体投标的，本章第 </w:t>
      </w:r>
      <w:r>
        <w:rPr>
          <w:rFonts w:ascii="Calibri" w:eastAsia="Calibri"/>
          <w:sz w:val="21"/>
        </w:rPr>
        <w:t>3.5.1</w:t>
      </w:r>
      <w:r>
        <w:rPr>
          <w:rFonts w:ascii="Calibri" w:eastAsia="Calibri"/>
          <w:spacing w:val="50"/>
          <w:sz w:val="21"/>
        </w:rPr>
        <w:t xml:space="preserve"> </w:t>
      </w:r>
      <w:r>
        <w:rPr>
          <w:spacing w:val="-2"/>
          <w:sz w:val="21"/>
        </w:rPr>
        <w:t xml:space="preserve">项至第 </w:t>
      </w:r>
      <w:r>
        <w:rPr>
          <w:rFonts w:ascii="Calibri" w:eastAsia="Calibri"/>
          <w:spacing w:val="-2"/>
          <w:sz w:val="21"/>
        </w:rPr>
        <w:t>3.5.8</w:t>
      </w:r>
    </w:p>
    <w:p w14:paraId="0C6C619C">
      <w:pPr>
        <w:spacing w:before="133"/>
        <w:ind w:left="802" w:right="0" w:firstLine="0"/>
        <w:jc w:val="left"/>
        <w:rPr>
          <w:sz w:val="21"/>
        </w:rPr>
      </w:pPr>
      <w:r>
        <w:rPr>
          <w:spacing w:val="-1"/>
          <w:sz w:val="21"/>
        </w:rPr>
        <w:t>项规定的表格和资料应包括联合体各方相关情况。</w:t>
      </w:r>
    </w:p>
    <w:p w14:paraId="41297BB9">
      <w:pPr>
        <w:pStyle w:val="82"/>
        <w:numPr>
          <w:ilvl w:val="1"/>
          <w:numId w:val="3"/>
        </w:numPr>
        <w:tabs>
          <w:tab w:val="left" w:pos="1535"/>
        </w:tabs>
        <w:spacing w:before="176" w:after="0" w:line="240" w:lineRule="auto"/>
        <w:ind w:left="1535" w:right="0" w:hanging="448"/>
        <w:jc w:val="left"/>
        <w:rPr>
          <w:rFonts w:ascii="Arial" w:eastAsia="Arial"/>
          <w:sz w:val="24"/>
        </w:rPr>
      </w:pPr>
      <w:bookmarkStart w:id="197" w:name="3.6 备选投标方案"/>
      <w:bookmarkEnd w:id="197"/>
      <w:r>
        <w:rPr>
          <w:spacing w:val="-2"/>
          <w:sz w:val="24"/>
        </w:rPr>
        <w:t>备选投标方案</w:t>
      </w:r>
    </w:p>
    <w:p w14:paraId="7416E996">
      <w:pPr>
        <w:spacing w:before="139"/>
        <w:ind w:left="1223" w:right="0" w:firstLine="0"/>
        <w:jc w:val="left"/>
        <w:rPr>
          <w:sz w:val="21"/>
        </w:rPr>
      </w:pPr>
      <w:r>
        <w:rPr>
          <w:spacing w:val="-1"/>
          <w:sz w:val="21"/>
        </w:rPr>
        <w:t>除投标人须知前附表另有规定外，不允许提交备选投标方案，否则其投标将被否决。</w:t>
      </w:r>
    </w:p>
    <w:p w14:paraId="6AF34CFF">
      <w:pPr>
        <w:pStyle w:val="82"/>
        <w:numPr>
          <w:ilvl w:val="1"/>
          <w:numId w:val="3"/>
        </w:numPr>
        <w:tabs>
          <w:tab w:val="left" w:pos="1535"/>
        </w:tabs>
        <w:spacing w:before="177" w:after="0" w:line="240" w:lineRule="auto"/>
        <w:ind w:left="1535" w:right="0" w:hanging="448"/>
        <w:jc w:val="left"/>
        <w:rPr>
          <w:rFonts w:ascii="Arial" w:eastAsia="Arial"/>
          <w:sz w:val="24"/>
        </w:rPr>
      </w:pPr>
      <w:bookmarkStart w:id="198" w:name="3.7 投标文件的编制"/>
      <w:bookmarkEnd w:id="198"/>
      <w:r>
        <w:rPr>
          <w:spacing w:val="-2"/>
          <w:sz w:val="24"/>
        </w:rPr>
        <w:t>投标文件的编制</w:t>
      </w:r>
    </w:p>
    <w:p w14:paraId="346A81EA">
      <w:pPr>
        <w:pStyle w:val="82"/>
        <w:numPr>
          <w:ilvl w:val="2"/>
          <w:numId w:val="3"/>
        </w:numPr>
        <w:tabs>
          <w:tab w:val="left" w:pos="1668"/>
        </w:tabs>
        <w:spacing w:before="139" w:after="0" w:line="350" w:lineRule="auto"/>
        <w:ind w:left="802" w:right="860" w:firstLine="375"/>
        <w:jc w:val="both"/>
        <w:rPr>
          <w:sz w:val="21"/>
        </w:rPr>
      </w:pPr>
      <w:r>
        <w:rPr>
          <w:spacing w:val="-2"/>
          <w:sz w:val="21"/>
        </w:rPr>
        <w:t>投标文件应按第六章</w:t>
      </w:r>
      <w:r>
        <w:rPr>
          <w:rFonts w:ascii="Calibri" w:hAnsi="Calibri" w:eastAsia="Calibri"/>
          <w:spacing w:val="-2"/>
          <w:sz w:val="21"/>
        </w:rPr>
        <w:t>“</w:t>
      </w:r>
      <w:r>
        <w:rPr>
          <w:spacing w:val="-2"/>
          <w:sz w:val="21"/>
        </w:rPr>
        <w:t>投标文件格式</w:t>
      </w:r>
      <w:r>
        <w:rPr>
          <w:rFonts w:ascii="Calibri" w:hAnsi="Calibri" w:eastAsia="Calibri"/>
          <w:spacing w:val="-2"/>
          <w:sz w:val="21"/>
        </w:rPr>
        <w:t>”</w:t>
      </w:r>
      <w:r>
        <w:rPr>
          <w:spacing w:val="-2"/>
          <w:sz w:val="21"/>
        </w:rPr>
        <w:t>进行编写，如有必要，可以增加附页，作为投</w:t>
      </w:r>
      <w:r>
        <w:rPr>
          <w:spacing w:val="-4"/>
          <w:sz w:val="21"/>
        </w:rPr>
        <w:t>标文件的组成部分。其中，投标函附录在满足招标文件要求的基础上，可以提出比招标文件</w:t>
      </w:r>
      <w:r>
        <w:rPr>
          <w:spacing w:val="-2"/>
          <w:sz w:val="21"/>
        </w:rPr>
        <w:t>要求更有利于招标人的承诺。</w:t>
      </w:r>
    </w:p>
    <w:p w14:paraId="6830BDEE">
      <w:pPr>
        <w:pStyle w:val="82"/>
        <w:numPr>
          <w:ilvl w:val="2"/>
          <w:numId w:val="3"/>
        </w:numPr>
        <w:tabs>
          <w:tab w:val="left" w:pos="1715"/>
        </w:tabs>
        <w:spacing w:before="5" w:after="0" w:line="240" w:lineRule="auto"/>
        <w:ind w:left="1715" w:right="0" w:hanging="537"/>
        <w:jc w:val="both"/>
        <w:rPr>
          <w:sz w:val="21"/>
        </w:rPr>
      </w:pPr>
      <w:r>
        <w:rPr>
          <w:spacing w:val="-1"/>
          <w:sz w:val="21"/>
        </w:rPr>
        <w:t>投标文件应当对招标文件有关服务期限、投标有效期、招标人要求、招标范围等</w:t>
      </w:r>
    </w:p>
    <w:p w14:paraId="440E292D">
      <w:pPr>
        <w:spacing w:after="0" w:line="240" w:lineRule="auto"/>
        <w:jc w:val="both"/>
        <w:rPr>
          <w:sz w:val="21"/>
        </w:rPr>
        <w:sectPr>
          <w:pgSz w:w="11910" w:h="16850"/>
          <w:pgMar w:top="1500" w:right="920" w:bottom="1060" w:left="1000" w:header="0" w:footer="866" w:gutter="0"/>
          <w:cols w:space="720" w:num="1"/>
        </w:sectPr>
      </w:pPr>
    </w:p>
    <w:p w14:paraId="0B8EC2A8">
      <w:pPr>
        <w:spacing w:before="52"/>
        <w:ind w:left="0" w:right="7080" w:firstLine="0"/>
        <w:jc w:val="right"/>
        <w:rPr>
          <w:sz w:val="21"/>
        </w:rPr>
      </w:pPr>
      <w:r>
        <w:rPr>
          <w:spacing w:val="-1"/>
          <w:sz w:val="21"/>
        </w:rPr>
        <w:t>实质性内容作出响应。</w:t>
      </w:r>
    </w:p>
    <w:p w14:paraId="52206651">
      <w:pPr>
        <w:pStyle w:val="82"/>
        <w:numPr>
          <w:ilvl w:val="2"/>
          <w:numId w:val="3"/>
        </w:numPr>
        <w:tabs>
          <w:tab w:val="left" w:pos="491"/>
        </w:tabs>
        <w:spacing w:before="13" w:after="0" w:line="271" w:lineRule="exact"/>
        <w:ind w:left="491" w:right="7006" w:hanging="491"/>
        <w:jc w:val="right"/>
        <w:rPr>
          <w:sz w:val="21"/>
        </w:rPr>
      </w:pPr>
      <w:r>
        <w:rPr>
          <w:spacing w:val="-2"/>
          <w:sz w:val="21"/>
        </w:rPr>
        <w:t>投标文件制作</w:t>
      </w:r>
    </w:p>
    <w:p w14:paraId="65B57CD1">
      <w:pPr>
        <w:pStyle w:val="82"/>
        <w:numPr>
          <w:ilvl w:val="0"/>
          <w:numId w:val="11"/>
        </w:numPr>
        <w:tabs>
          <w:tab w:val="left" w:pos="1716"/>
        </w:tabs>
        <w:spacing w:before="0" w:after="0" w:line="270" w:lineRule="exact"/>
        <w:ind w:left="1716" w:right="0" w:hanging="493"/>
        <w:jc w:val="left"/>
        <w:rPr>
          <w:sz w:val="21"/>
        </w:rPr>
      </w:pPr>
      <w:r>
        <w:rPr>
          <w:sz w:val="21"/>
        </w:rPr>
        <w:t>投标文件由投标人使用</w:t>
      </w:r>
      <w:r>
        <w:rPr>
          <w:rFonts w:ascii="Calibri" w:hAnsi="Calibri" w:eastAsia="Calibri"/>
          <w:sz w:val="21"/>
        </w:rPr>
        <w:t>“</w:t>
      </w:r>
      <w:r>
        <w:rPr>
          <w:sz w:val="21"/>
        </w:rPr>
        <w:t>电子交易平台</w:t>
      </w:r>
      <w:r>
        <w:rPr>
          <w:rFonts w:ascii="Calibri" w:hAnsi="Calibri" w:eastAsia="Calibri"/>
          <w:sz w:val="21"/>
        </w:rPr>
        <w:t>”</w:t>
      </w:r>
      <w:r>
        <w:rPr>
          <w:sz w:val="21"/>
        </w:rPr>
        <w:t>提供的</w:t>
      </w:r>
      <w:r>
        <w:rPr>
          <w:rFonts w:ascii="Calibri" w:hAnsi="Calibri" w:eastAsia="Calibri"/>
          <w:sz w:val="21"/>
        </w:rPr>
        <w:t>“</w:t>
      </w:r>
      <w:r>
        <w:rPr>
          <w:sz w:val="21"/>
        </w:rPr>
        <w:t>电子投标文件制作软件</w:t>
      </w:r>
      <w:r>
        <w:rPr>
          <w:rFonts w:ascii="Calibri" w:hAnsi="Calibri" w:eastAsia="Calibri"/>
          <w:sz w:val="21"/>
        </w:rPr>
        <w:t>”</w:t>
      </w:r>
      <w:r>
        <w:rPr>
          <w:spacing w:val="-2"/>
          <w:sz w:val="21"/>
        </w:rPr>
        <w:t>制作生成。</w:t>
      </w:r>
    </w:p>
    <w:p w14:paraId="0691A830">
      <w:pPr>
        <w:pStyle w:val="82"/>
        <w:numPr>
          <w:ilvl w:val="0"/>
          <w:numId w:val="11"/>
        </w:numPr>
        <w:tabs>
          <w:tab w:val="left" w:pos="1747"/>
        </w:tabs>
        <w:spacing w:before="0" w:after="0" w:line="270" w:lineRule="exact"/>
        <w:ind w:left="1747" w:right="0" w:hanging="524"/>
        <w:jc w:val="left"/>
        <w:rPr>
          <w:sz w:val="21"/>
        </w:rPr>
      </w:pPr>
      <w:r>
        <w:rPr>
          <w:spacing w:val="-1"/>
          <w:sz w:val="21"/>
        </w:rPr>
        <w:t>投标人在编制投标文件时应当建立分级目录，并按照标签提示导入相关内容。</w:t>
      </w:r>
    </w:p>
    <w:p w14:paraId="6091D201">
      <w:pPr>
        <w:pStyle w:val="82"/>
        <w:numPr>
          <w:ilvl w:val="0"/>
          <w:numId w:val="11"/>
        </w:numPr>
        <w:tabs>
          <w:tab w:val="left" w:pos="1746"/>
        </w:tabs>
        <w:spacing w:before="0" w:after="0" w:line="237" w:lineRule="auto"/>
        <w:ind w:left="802" w:right="880" w:firstLine="420"/>
        <w:jc w:val="both"/>
        <w:rPr>
          <w:sz w:val="21"/>
        </w:rPr>
      </w:pPr>
      <w:r>
        <w:rPr>
          <w:sz w:val="21"/>
        </w:rPr>
        <w:t>投标文件中证明资料均为相关原件的</w:t>
      </w:r>
      <w:r>
        <w:rPr>
          <w:rFonts w:ascii="Calibri" w:hAnsi="Calibri" w:eastAsia="Calibri"/>
          <w:sz w:val="21"/>
        </w:rPr>
        <w:t>“</w:t>
      </w:r>
      <w:r>
        <w:rPr>
          <w:sz w:val="21"/>
        </w:rPr>
        <w:t>扫描件</w:t>
      </w:r>
      <w:r>
        <w:rPr>
          <w:rFonts w:ascii="Calibri" w:hAnsi="Calibri" w:eastAsia="Calibri"/>
          <w:sz w:val="21"/>
        </w:rPr>
        <w:t>”</w:t>
      </w:r>
      <w:r>
        <w:rPr>
          <w:sz w:val="21"/>
        </w:rPr>
        <w:t>，应从</w:t>
      </w:r>
      <w:r>
        <w:rPr>
          <w:rFonts w:ascii="Calibri" w:hAnsi="Calibri" w:eastAsia="Calibri"/>
          <w:sz w:val="21"/>
        </w:rPr>
        <w:t>“</w:t>
      </w:r>
      <w:r>
        <w:rPr>
          <w:sz w:val="21"/>
        </w:rPr>
        <w:t>电子交易平台</w:t>
      </w:r>
      <w:r>
        <w:rPr>
          <w:rFonts w:ascii="Calibri" w:hAnsi="Calibri" w:eastAsia="Calibri"/>
          <w:sz w:val="21"/>
        </w:rPr>
        <w:t>”</w:t>
      </w:r>
      <w:r>
        <w:rPr>
          <w:spacing w:val="1"/>
          <w:sz w:val="21"/>
        </w:rPr>
        <w:t>交易主体诚</w:t>
      </w:r>
      <w:r>
        <w:rPr>
          <w:spacing w:val="-2"/>
          <w:sz w:val="21"/>
        </w:rPr>
        <w:t>信库中选择，交易主体诚信库中没有的</w:t>
      </w:r>
      <w:r>
        <w:rPr>
          <w:rFonts w:ascii="Calibri" w:hAnsi="Calibri" w:eastAsia="Calibri"/>
          <w:spacing w:val="-2"/>
          <w:sz w:val="21"/>
        </w:rPr>
        <w:t>“</w:t>
      </w:r>
      <w:r>
        <w:rPr>
          <w:spacing w:val="-2"/>
          <w:sz w:val="21"/>
        </w:rPr>
        <w:t>扫描件</w:t>
      </w:r>
      <w:r>
        <w:rPr>
          <w:rFonts w:ascii="Calibri" w:hAnsi="Calibri" w:eastAsia="Calibri"/>
          <w:spacing w:val="-2"/>
          <w:sz w:val="21"/>
        </w:rPr>
        <w:t>”</w:t>
      </w:r>
      <w:r>
        <w:rPr>
          <w:spacing w:val="-2"/>
          <w:sz w:val="21"/>
        </w:rPr>
        <w:t>，应以附件形式直接导入，未标示</w:t>
      </w:r>
      <w:r>
        <w:rPr>
          <w:rFonts w:ascii="Calibri" w:hAnsi="Calibri" w:eastAsia="Calibri"/>
          <w:spacing w:val="-2"/>
          <w:sz w:val="21"/>
        </w:rPr>
        <w:t>“</w:t>
      </w:r>
      <w:r>
        <w:rPr>
          <w:spacing w:val="-2"/>
          <w:sz w:val="21"/>
        </w:rPr>
        <w:t>扫描件</w:t>
      </w:r>
      <w:r>
        <w:rPr>
          <w:rFonts w:ascii="Calibri" w:hAnsi="Calibri" w:eastAsia="Calibri"/>
          <w:spacing w:val="-2"/>
          <w:sz w:val="21"/>
        </w:rPr>
        <w:t>”</w:t>
      </w:r>
      <w:r>
        <w:rPr>
          <w:spacing w:val="-2"/>
          <w:sz w:val="21"/>
        </w:rPr>
        <w:t>的证明资料均应直接制作生成。</w:t>
      </w:r>
    </w:p>
    <w:p w14:paraId="6A7AA53D">
      <w:pPr>
        <w:pStyle w:val="82"/>
        <w:numPr>
          <w:ilvl w:val="0"/>
          <w:numId w:val="11"/>
        </w:numPr>
        <w:tabs>
          <w:tab w:val="left" w:pos="1701"/>
        </w:tabs>
        <w:spacing w:before="15" w:after="0" w:line="237" w:lineRule="auto"/>
        <w:ind w:left="802" w:right="856" w:firstLine="420"/>
        <w:jc w:val="both"/>
        <w:rPr>
          <w:sz w:val="21"/>
        </w:rPr>
      </w:pPr>
      <w:r>
        <w:rPr>
          <w:spacing w:val="-2"/>
          <w:sz w:val="21"/>
        </w:rPr>
        <w:t>第六章投标文件格式文件投标函要求</w:t>
      </w:r>
      <w:r>
        <w:rPr>
          <w:rFonts w:ascii="Calibri" w:hAnsi="Calibri" w:eastAsia="Calibri"/>
          <w:spacing w:val="-2"/>
          <w:sz w:val="21"/>
        </w:rPr>
        <w:t>“</w:t>
      </w:r>
      <w:r>
        <w:rPr>
          <w:spacing w:val="-2"/>
          <w:sz w:val="21"/>
        </w:rPr>
        <w:t>盖单位章</w:t>
      </w:r>
      <w:r>
        <w:rPr>
          <w:rFonts w:ascii="Calibri" w:hAnsi="Calibri" w:eastAsia="Calibri"/>
          <w:spacing w:val="-2"/>
          <w:sz w:val="21"/>
        </w:rPr>
        <w:t>”</w:t>
      </w:r>
      <w:r>
        <w:rPr>
          <w:spacing w:val="-5"/>
          <w:sz w:val="21"/>
        </w:rPr>
        <w:t xml:space="preserve">的地方，投标人应使用 </w:t>
      </w:r>
      <w:r>
        <w:rPr>
          <w:rFonts w:ascii="Calibri" w:hAnsi="Calibri" w:eastAsia="Calibri"/>
          <w:spacing w:val="-2"/>
          <w:sz w:val="21"/>
        </w:rPr>
        <w:t>CA</w:t>
      </w:r>
      <w:r>
        <w:rPr>
          <w:rFonts w:ascii="Calibri" w:hAnsi="Calibri" w:eastAsia="Calibri"/>
          <w:sz w:val="21"/>
        </w:rPr>
        <w:t xml:space="preserve"> </w:t>
      </w:r>
      <w:r>
        <w:rPr>
          <w:spacing w:val="-2"/>
          <w:sz w:val="21"/>
        </w:rPr>
        <w:t>数字证</w:t>
      </w:r>
      <w:r>
        <w:rPr>
          <w:sz w:val="21"/>
        </w:rPr>
        <w:t>书加盖投标人的单位电子印章；要求</w:t>
      </w:r>
      <w:r>
        <w:rPr>
          <w:rFonts w:ascii="Calibri" w:hAnsi="Calibri" w:eastAsia="Calibri"/>
          <w:sz w:val="21"/>
        </w:rPr>
        <w:t>“</w:t>
      </w:r>
      <w:r>
        <w:rPr>
          <w:sz w:val="21"/>
        </w:rPr>
        <w:t>签字</w:t>
      </w:r>
      <w:r>
        <w:rPr>
          <w:rFonts w:ascii="Calibri" w:hAnsi="Calibri" w:eastAsia="Calibri"/>
          <w:sz w:val="21"/>
        </w:rPr>
        <w:t>”</w:t>
      </w:r>
      <w:r>
        <w:rPr>
          <w:spacing w:val="-3"/>
          <w:sz w:val="21"/>
        </w:rPr>
        <w:t xml:space="preserve">的地方，投标人应使用 </w:t>
      </w:r>
      <w:r>
        <w:rPr>
          <w:rFonts w:ascii="Calibri" w:hAnsi="Calibri" w:eastAsia="Calibri"/>
          <w:sz w:val="21"/>
        </w:rPr>
        <w:t>CA</w:t>
      </w:r>
      <w:r>
        <w:rPr>
          <w:rFonts w:ascii="Calibri" w:hAnsi="Calibri" w:eastAsia="Calibri"/>
          <w:spacing w:val="-12"/>
          <w:sz w:val="21"/>
        </w:rPr>
        <w:t xml:space="preserve"> </w:t>
      </w:r>
      <w:r>
        <w:rPr>
          <w:sz w:val="21"/>
        </w:rPr>
        <w:t>数字证书加盖法定代</w:t>
      </w:r>
      <w:r>
        <w:rPr>
          <w:spacing w:val="-2"/>
          <w:sz w:val="21"/>
        </w:rPr>
        <w:t>表人的个人电子印章或电子签名章。联合体投标的，投标文件由联合体牵头人按上述规定在要求</w:t>
      </w:r>
      <w:r>
        <w:rPr>
          <w:rFonts w:ascii="Calibri" w:hAnsi="Calibri" w:eastAsia="Calibri"/>
          <w:spacing w:val="-2"/>
          <w:sz w:val="21"/>
        </w:rPr>
        <w:t>“</w:t>
      </w:r>
      <w:r>
        <w:rPr>
          <w:spacing w:val="-2"/>
          <w:sz w:val="21"/>
        </w:rPr>
        <w:t>盖单位章</w:t>
      </w:r>
      <w:r>
        <w:rPr>
          <w:rFonts w:ascii="Calibri" w:hAnsi="Calibri" w:eastAsia="Calibri"/>
          <w:spacing w:val="-2"/>
          <w:sz w:val="21"/>
        </w:rPr>
        <w:t>”</w:t>
      </w:r>
      <w:r>
        <w:rPr>
          <w:spacing w:val="-2"/>
          <w:sz w:val="21"/>
        </w:rPr>
        <w:t>的地方加盖联合体牵头人单位电子印章；在要求</w:t>
      </w:r>
      <w:r>
        <w:rPr>
          <w:rFonts w:ascii="Calibri" w:hAnsi="Calibri" w:eastAsia="Calibri"/>
          <w:spacing w:val="-2"/>
          <w:sz w:val="21"/>
        </w:rPr>
        <w:t>“</w:t>
      </w:r>
      <w:r>
        <w:rPr>
          <w:spacing w:val="-2"/>
          <w:sz w:val="21"/>
        </w:rPr>
        <w:t>签字</w:t>
      </w:r>
      <w:r>
        <w:rPr>
          <w:rFonts w:ascii="Calibri" w:hAnsi="Calibri" w:eastAsia="Calibri"/>
          <w:spacing w:val="-2"/>
          <w:sz w:val="21"/>
        </w:rPr>
        <w:t>”</w:t>
      </w:r>
      <w:r>
        <w:rPr>
          <w:spacing w:val="-2"/>
          <w:sz w:val="21"/>
        </w:rPr>
        <w:t>的地方加盖联合体牵头人法定代表人的个人电子印章或电子签名章。招标文件有特别说明的除外。</w:t>
      </w:r>
    </w:p>
    <w:p w14:paraId="0EE4285E">
      <w:pPr>
        <w:pStyle w:val="82"/>
        <w:numPr>
          <w:ilvl w:val="0"/>
          <w:numId w:val="11"/>
        </w:numPr>
        <w:tabs>
          <w:tab w:val="left" w:pos="1701"/>
        </w:tabs>
        <w:spacing w:before="0" w:after="0" w:line="249" w:lineRule="auto"/>
        <w:ind w:left="802" w:right="880" w:firstLine="420"/>
        <w:jc w:val="left"/>
        <w:rPr>
          <w:sz w:val="21"/>
        </w:rPr>
      </w:pPr>
      <w:r>
        <w:rPr>
          <w:spacing w:val="-2"/>
          <w:sz w:val="21"/>
        </w:rPr>
        <w:t>投标文件制作完成后，将生成一份加密的电子投标文件</w:t>
      </w:r>
      <w:r>
        <w:rPr>
          <w:rFonts w:ascii="Calibri" w:eastAsia="Calibri"/>
          <w:spacing w:val="-2"/>
          <w:sz w:val="21"/>
        </w:rPr>
        <w:t>(</w:t>
      </w:r>
      <w:r>
        <w:rPr>
          <w:spacing w:val="-2"/>
          <w:sz w:val="21"/>
        </w:rPr>
        <w:t>后缀名为</w:t>
      </w:r>
      <w:r>
        <w:rPr>
          <w:rFonts w:ascii="Calibri" w:eastAsia="Calibri"/>
          <w:spacing w:val="-2"/>
          <w:sz w:val="21"/>
        </w:rPr>
        <w:t>.HBSTF)</w:t>
      </w:r>
      <w:r>
        <w:rPr>
          <w:spacing w:val="-2"/>
          <w:sz w:val="21"/>
        </w:rPr>
        <w:t>和一份不加密的电子投标文件</w:t>
      </w:r>
      <w:r>
        <w:rPr>
          <w:rFonts w:ascii="Calibri" w:eastAsia="Calibri"/>
          <w:spacing w:val="-2"/>
          <w:sz w:val="21"/>
        </w:rPr>
        <w:t>(</w:t>
      </w:r>
      <w:r>
        <w:rPr>
          <w:spacing w:val="-2"/>
          <w:sz w:val="21"/>
        </w:rPr>
        <w:t>后缀名为</w:t>
      </w:r>
      <w:r>
        <w:rPr>
          <w:rFonts w:ascii="Calibri" w:eastAsia="Calibri"/>
          <w:spacing w:val="-2"/>
          <w:sz w:val="21"/>
        </w:rPr>
        <w:t>.NHBSTF)</w:t>
      </w:r>
      <w:r>
        <w:rPr>
          <w:spacing w:val="-2"/>
          <w:sz w:val="21"/>
        </w:rPr>
        <w:t>。</w:t>
      </w:r>
    </w:p>
    <w:p w14:paraId="471666EC">
      <w:pPr>
        <w:pStyle w:val="82"/>
        <w:numPr>
          <w:ilvl w:val="0"/>
          <w:numId w:val="11"/>
        </w:numPr>
        <w:tabs>
          <w:tab w:val="left" w:pos="1747"/>
        </w:tabs>
        <w:spacing w:before="0" w:after="0" w:line="259" w:lineRule="exact"/>
        <w:ind w:left="1747" w:right="0" w:hanging="524"/>
        <w:jc w:val="left"/>
        <w:rPr>
          <w:sz w:val="21"/>
        </w:rPr>
      </w:pPr>
      <w:r>
        <w:rPr>
          <w:spacing w:val="-2"/>
          <w:sz w:val="21"/>
        </w:rPr>
        <w:t>投标文件制作的具体方法见</w:t>
      </w:r>
      <w:r>
        <w:rPr>
          <w:rFonts w:ascii="Calibri" w:hAnsi="Calibri" w:eastAsia="Calibri"/>
          <w:spacing w:val="-2"/>
          <w:sz w:val="21"/>
        </w:rPr>
        <w:t>“</w:t>
      </w:r>
      <w:r>
        <w:rPr>
          <w:spacing w:val="-2"/>
          <w:sz w:val="21"/>
        </w:rPr>
        <w:t>电子投标文件制作软件</w:t>
      </w:r>
      <w:r>
        <w:rPr>
          <w:rFonts w:ascii="Calibri" w:hAnsi="Calibri" w:eastAsia="Calibri"/>
          <w:spacing w:val="-2"/>
          <w:sz w:val="21"/>
        </w:rPr>
        <w:t>”</w:t>
      </w:r>
      <w:r>
        <w:rPr>
          <w:spacing w:val="-4"/>
          <w:sz w:val="21"/>
        </w:rPr>
        <w:t>中的帮助文档。</w:t>
      </w:r>
    </w:p>
    <w:p w14:paraId="7EF93AE5">
      <w:pPr>
        <w:pStyle w:val="82"/>
        <w:numPr>
          <w:ilvl w:val="2"/>
          <w:numId w:val="3"/>
        </w:numPr>
        <w:tabs>
          <w:tab w:val="left" w:pos="1760"/>
        </w:tabs>
        <w:spacing w:before="0" w:after="0" w:line="270" w:lineRule="exact"/>
        <w:ind w:left="1760" w:right="0" w:hanging="537"/>
        <w:jc w:val="left"/>
        <w:rPr>
          <w:sz w:val="21"/>
        </w:rPr>
      </w:pPr>
      <w:r>
        <w:rPr>
          <w:spacing w:val="-1"/>
          <w:sz w:val="21"/>
        </w:rPr>
        <w:t>投标人须知前附表规定“技术建议书”采用无标识“技术暗标”时，则“技术建</w:t>
      </w:r>
    </w:p>
    <w:p w14:paraId="5C660FA7">
      <w:pPr>
        <w:spacing w:before="0" w:line="270" w:lineRule="exact"/>
        <w:ind w:left="802" w:right="0" w:firstLine="0"/>
        <w:jc w:val="left"/>
        <w:rPr>
          <w:sz w:val="21"/>
        </w:rPr>
      </w:pPr>
      <w:r>
        <w:rPr>
          <w:spacing w:val="-6"/>
          <w:sz w:val="21"/>
        </w:rPr>
        <w:t xml:space="preserve">议书”按本章第 </w:t>
      </w:r>
      <w:r>
        <w:rPr>
          <w:rFonts w:ascii="Calibri" w:hAnsi="Calibri" w:eastAsia="Calibri"/>
          <w:sz w:val="21"/>
        </w:rPr>
        <w:t>3.7.3</w:t>
      </w:r>
      <w:r>
        <w:rPr>
          <w:rFonts w:ascii="Calibri" w:hAnsi="Calibri" w:eastAsia="Calibri"/>
          <w:spacing w:val="17"/>
          <w:sz w:val="21"/>
        </w:rPr>
        <w:t xml:space="preserve"> </w:t>
      </w:r>
      <w:r>
        <w:rPr>
          <w:spacing w:val="-1"/>
          <w:sz w:val="21"/>
        </w:rPr>
        <w:t>项制作电子投标文件时应满足下列要求。</w:t>
      </w:r>
    </w:p>
    <w:p w14:paraId="07F2CCFE">
      <w:pPr>
        <w:pStyle w:val="82"/>
        <w:numPr>
          <w:ilvl w:val="0"/>
          <w:numId w:val="12"/>
        </w:numPr>
        <w:tabs>
          <w:tab w:val="left" w:pos="1746"/>
          <w:tab w:val="left" w:pos="6614"/>
          <w:tab w:val="left" w:pos="8296"/>
        </w:tabs>
        <w:spacing w:before="0" w:after="0" w:line="237" w:lineRule="auto"/>
        <w:ind w:left="802" w:right="850" w:firstLine="420"/>
        <w:jc w:val="left"/>
        <w:rPr>
          <w:sz w:val="21"/>
        </w:rPr>
      </w:pPr>
      <w:r>
        <w:rPr>
          <w:sz w:val="21"/>
        </w:rPr>
        <w:t>封面设置要求：采用</w:t>
      </w:r>
      <w:r>
        <w:rPr>
          <w:spacing w:val="-10"/>
          <w:sz w:val="21"/>
        </w:rPr>
        <w:t xml:space="preserve"> </w:t>
      </w:r>
      <w:r>
        <w:rPr>
          <w:rFonts w:ascii="Calibri" w:hAnsi="Calibri" w:eastAsia="Calibri"/>
          <w:sz w:val="21"/>
        </w:rPr>
        <w:t>A4</w:t>
      </w:r>
      <w:r>
        <w:rPr>
          <w:rFonts w:ascii="Calibri" w:hAnsi="Calibri" w:eastAsia="Calibri"/>
          <w:spacing w:val="40"/>
          <w:sz w:val="21"/>
        </w:rPr>
        <w:t xml:space="preserve"> </w:t>
      </w:r>
      <w:r>
        <w:rPr>
          <w:sz w:val="21"/>
        </w:rPr>
        <w:t>规格白色底色，写明“</w:t>
      </w:r>
      <w:r>
        <w:rPr>
          <w:rFonts w:ascii="Times New Roman" w:hAnsi="Times New Roman" w:eastAsia="Times New Roman"/>
          <w:sz w:val="21"/>
          <w:u w:val="single"/>
        </w:rPr>
        <w:tab/>
      </w:r>
      <w:r>
        <w:rPr>
          <w:spacing w:val="-2"/>
          <w:sz w:val="21"/>
          <w:u w:val="none"/>
        </w:rPr>
        <w:t>（项目名称）</w:t>
      </w:r>
      <w:r>
        <w:rPr>
          <w:rFonts w:ascii="Times New Roman" w:hAnsi="Times New Roman" w:eastAsia="Times New Roman"/>
          <w:sz w:val="21"/>
          <w:u w:val="single"/>
        </w:rPr>
        <w:tab/>
      </w:r>
      <w:r>
        <w:rPr>
          <w:spacing w:val="-4"/>
          <w:sz w:val="21"/>
          <w:u w:val="none"/>
        </w:rPr>
        <w:t>（标段名</w:t>
      </w:r>
      <w:r>
        <w:rPr>
          <w:spacing w:val="-2"/>
          <w:sz w:val="21"/>
          <w:u w:val="none"/>
        </w:rPr>
        <w:t>称）技术建议书”字样，文字为黑色二号宋体，可加粗；</w:t>
      </w:r>
    </w:p>
    <w:p w14:paraId="45A4A2F8">
      <w:pPr>
        <w:pStyle w:val="82"/>
        <w:numPr>
          <w:ilvl w:val="0"/>
          <w:numId w:val="12"/>
        </w:numPr>
        <w:tabs>
          <w:tab w:val="left" w:pos="1731"/>
        </w:tabs>
        <w:spacing w:before="0" w:after="0" w:line="252" w:lineRule="auto"/>
        <w:ind w:left="802" w:right="773" w:firstLine="420"/>
        <w:jc w:val="left"/>
        <w:rPr>
          <w:sz w:val="21"/>
        </w:rPr>
      </w:pPr>
      <w:r>
        <w:rPr>
          <w:spacing w:val="-4"/>
          <w:sz w:val="21"/>
        </w:rPr>
        <w:t>目录、正文标题（包括章、节、条、款、项</w:t>
      </w:r>
      <w:r>
        <w:rPr>
          <w:spacing w:val="-105"/>
          <w:sz w:val="21"/>
        </w:rPr>
        <w:t>）</w:t>
      </w:r>
      <w:r>
        <w:rPr>
          <w:spacing w:val="-9"/>
          <w:sz w:val="21"/>
        </w:rPr>
        <w:t xml:space="preserve">、正文要求：采用 </w:t>
      </w:r>
      <w:r>
        <w:rPr>
          <w:rFonts w:ascii="Calibri" w:eastAsia="Calibri"/>
          <w:spacing w:val="-4"/>
          <w:sz w:val="21"/>
        </w:rPr>
        <w:t>A4</w:t>
      </w:r>
      <w:r>
        <w:rPr>
          <w:rFonts w:ascii="Calibri" w:eastAsia="Calibri"/>
          <w:spacing w:val="10"/>
          <w:sz w:val="21"/>
        </w:rPr>
        <w:t xml:space="preserve"> </w:t>
      </w:r>
      <w:r>
        <w:rPr>
          <w:spacing w:val="-4"/>
          <w:sz w:val="21"/>
        </w:rPr>
        <w:t>规格白色底色，</w:t>
      </w:r>
      <w:r>
        <w:rPr>
          <w:spacing w:val="-2"/>
          <w:sz w:val="21"/>
        </w:rPr>
        <w:t>文字为黑色小四号宋体，标题可加粗；</w:t>
      </w:r>
    </w:p>
    <w:p w14:paraId="172CFA19">
      <w:pPr>
        <w:pStyle w:val="82"/>
        <w:numPr>
          <w:ilvl w:val="0"/>
          <w:numId w:val="12"/>
        </w:numPr>
        <w:tabs>
          <w:tab w:val="left" w:pos="1747"/>
        </w:tabs>
        <w:spacing w:before="0" w:after="0" w:line="254" w:lineRule="exact"/>
        <w:ind w:left="1747" w:right="0" w:hanging="524"/>
        <w:jc w:val="left"/>
        <w:rPr>
          <w:sz w:val="21"/>
        </w:rPr>
      </w:pPr>
      <w:r>
        <w:rPr>
          <w:spacing w:val="-2"/>
          <w:sz w:val="21"/>
        </w:rPr>
        <w:t xml:space="preserve">图表、图片要求：图表应尽可能采用 </w:t>
      </w:r>
      <w:r>
        <w:rPr>
          <w:rFonts w:ascii="Calibri" w:eastAsia="Calibri"/>
          <w:sz w:val="21"/>
        </w:rPr>
        <w:t>A4</w:t>
      </w:r>
      <w:r>
        <w:rPr>
          <w:rFonts w:ascii="Calibri" w:eastAsia="Calibri"/>
          <w:spacing w:val="40"/>
          <w:sz w:val="21"/>
        </w:rPr>
        <w:t xml:space="preserve"> </w:t>
      </w:r>
      <w:r>
        <w:rPr>
          <w:spacing w:val="-1"/>
          <w:sz w:val="21"/>
        </w:rPr>
        <w:t>规格白色底色，对于比较大的图表可使</w:t>
      </w:r>
    </w:p>
    <w:p w14:paraId="356B8568">
      <w:pPr>
        <w:spacing w:before="0" w:line="270" w:lineRule="exact"/>
        <w:ind w:left="802" w:right="0" w:firstLine="0"/>
        <w:jc w:val="left"/>
        <w:rPr>
          <w:sz w:val="21"/>
        </w:rPr>
      </w:pPr>
      <w:r>
        <w:rPr>
          <w:spacing w:val="-23"/>
          <w:sz w:val="21"/>
        </w:rPr>
        <w:t xml:space="preserve">用 </w:t>
      </w:r>
      <w:r>
        <w:rPr>
          <w:rFonts w:ascii="Calibri" w:eastAsia="Calibri"/>
          <w:sz w:val="21"/>
        </w:rPr>
        <w:t>A3</w:t>
      </w:r>
      <w:r>
        <w:rPr>
          <w:rFonts w:ascii="Calibri" w:eastAsia="Calibri"/>
          <w:spacing w:val="9"/>
          <w:sz w:val="21"/>
        </w:rPr>
        <w:t xml:space="preserve"> </w:t>
      </w:r>
      <w:r>
        <w:rPr>
          <w:spacing w:val="-1"/>
          <w:sz w:val="21"/>
        </w:rPr>
        <w:t>规格白色底色。需要采用图片的，图片中的字体、字号不限，图片颜色不限；</w:t>
      </w:r>
    </w:p>
    <w:p w14:paraId="389A9BA8">
      <w:pPr>
        <w:pStyle w:val="82"/>
        <w:numPr>
          <w:ilvl w:val="0"/>
          <w:numId w:val="12"/>
        </w:numPr>
        <w:tabs>
          <w:tab w:val="left" w:pos="1746"/>
        </w:tabs>
        <w:spacing w:before="0" w:after="0" w:line="237" w:lineRule="auto"/>
        <w:ind w:left="802" w:right="873" w:firstLine="420"/>
        <w:jc w:val="left"/>
        <w:rPr>
          <w:sz w:val="21"/>
        </w:rPr>
      </w:pPr>
      <w:r>
        <w:rPr>
          <w:spacing w:val="-2"/>
          <w:sz w:val="21"/>
        </w:rPr>
        <w:t>页眉和页脚（包括页码）设置要求：不允许出现页眉，且页脚只准出现页码，页码格式采用阿拉伯数字格式，字体为五号宋体，设在页脚居中位置，页码应当连续；</w:t>
      </w:r>
    </w:p>
    <w:p w14:paraId="08CEE5EC">
      <w:pPr>
        <w:pStyle w:val="82"/>
        <w:numPr>
          <w:ilvl w:val="0"/>
          <w:numId w:val="12"/>
        </w:numPr>
        <w:tabs>
          <w:tab w:val="left" w:pos="1746"/>
        </w:tabs>
        <w:spacing w:before="0" w:after="0" w:line="252" w:lineRule="auto"/>
        <w:ind w:left="802" w:right="873" w:firstLine="420"/>
        <w:jc w:val="left"/>
        <w:rPr>
          <w:sz w:val="21"/>
        </w:rPr>
      </w:pPr>
      <w:r>
        <w:rPr>
          <w:spacing w:val="-2"/>
          <w:sz w:val="21"/>
        </w:rPr>
        <w:t>任何情况下，技术建议书中不得出现投标人的名称和其它可识别投标人身份的字符、徽标、人员名称等。</w:t>
      </w:r>
    </w:p>
    <w:p w14:paraId="438D09EE">
      <w:pPr>
        <w:pStyle w:val="82"/>
        <w:numPr>
          <w:ilvl w:val="2"/>
          <w:numId w:val="3"/>
        </w:numPr>
        <w:tabs>
          <w:tab w:val="left" w:pos="1761"/>
        </w:tabs>
        <w:spacing w:before="0" w:after="0" w:line="254" w:lineRule="exact"/>
        <w:ind w:left="1761" w:right="0" w:hanging="538"/>
        <w:jc w:val="left"/>
        <w:rPr>
          <w:sz w:val="21"/>
        </w:rPr>
      </w:pPr>
      <w:r>
        <w:rPr>
          <w:spacing w:val="-1"/>
          <w:sz w:val="21"/>
        </w:rPr>
        <w:t>投标人中标后向招标人另行提供与投标时相同的纸质版投标文件份数见投标人须</w:t>
      </w:r>
    </w:p>
    <w:p w14:paraId="38BAD1D5">
      <w:pPr>
        <w:spacing w:before="0" w:line="271" w:lineRule="exact"/>
        <w:ind w:left="802" w:right="0" w:firstLine="0"/>
        <w:jc w:val="left"/>
        <w:rPr>
          <w:sz w:val="21"/>
        </w:rPr>
      </w:pPr>
      <w:r>
        <w:rPr>
          <w:spacing w:val="-2"/>
          <w:sz w:val="21"/>
        </w:rPr>
        <w:t>知前附表。</w:t>
      </w:r>
    </w:p>
    <w:p w14:paraId="764A588D">
      <w:pPr>
        <w:pStyle w:val="82"/>
        <w:numPr>
          <w:ilvl w:val="0"/>
          <w:numId w:val="3"/>
        </w:numPr>
        <w:tabs>
          <w:tab w:val="left" w:pos="1521"/>
        </w:tabs>
        <w:spacing w:before="7" w:after="0" w:line="240" w:lineRule="auto"/>
        <w:ind w:left="1521" w:right="0" w:hanging="298"/>
        <w:jc w:val="left"/>
        <w:rPr>
          <w:sz w:val="24"/>
        </w:rPr>
      </w:pPr>
      <w:bookmarkStart w:id="199" w:name="_bookmark8"/>
      <w:bookmarkEnd w:id="199"/>
      <w:bookmarkStart w:id="200" w:name="4. 投标"/>
      <w:bookmarkEnd w:id="200"/>
      <w:r>
        <w:rPr>
          <w:spacing w:val="-5"/>
          <w:sz w:val="24"/>
        </w:rPr>
        <w:t>投标</w:t>
      </w:r>
    </w:p>
    <w:p w14:paraId="5298E7D2">
      <w:pPr>
        <w:pStyle w:val="82"/>
        <w:numPr>
          <w:ilvl w:val="1"/>
          <w:numId w:val="3"/>
        </w:numPr>
        <w:tabs>
          <w:tab w:val="left" w:pos="1535"/>
        </w:tabs>
        <w:spacing w:before="303" w:after="0" w:line="240" w:lineRule="auto"/>
        <w:ind w:left="1535" w:right="0" w:hanging="448"/>
        <w:jc w:val="left"/>
        <w:rPr>
          <w:rFonts w:ascii="Arial" w:eastAsia="Arial"/>
          <w:sz w:val="24"/>
        </w:rPr>
      </w:pPr>
      <w:bookmarkStart w:id="201" w:name="4.1 投标文件的加密"/>
      <w:bookmarkEnd w:id="201"/>
      <w:r>
        <w:rPr>
          <w:spacing w:val="-2"/>
          <w:sz w:val="24"/>
        </w:rPr>
        <w:t>投标文件的加密</w:t>
      </w:r>
    </w:p>
    <w:p w14:paraId="52B73295">
      <w:pPr>
        <w:spacing w:before="154" w:line="343" w:lineRule="auto"/>
        <w:ind w:left="802" w:right="859" w:firstLine="420"/>
        <w:jc w:val="left"/>
        <w:rPr>
          <w:sz w:val="21"/>
        </w:rPr>
      </w:pPr>
      <w:r>
        <w:rPr>
          <w:spacing w:val="-5"/>
          <w:sz w:val="21"/>
        </w:rPr>
        <w:t xml:space="preserve">投标人应当按照本章第 </w:t>
      </w:r>
      <w:r>
        <w:rPr>
          <w:rFonts w:ascii="Calibri" w:hAnsi="Calibri" w:eastAsia="Calibri"/>
          <w:sz w:val="21"/>
        </w:rPr>
        <w:t>3.7.3</w:t>
      </w:r>
      <w:r>
        <w:rPr>
          <w:rFonts w:ascii="Calibri" w:hAnsi="Calibri" w:eastAsia="Calibri"/>
          <w:spacing w:val="-10"/>
          <w:sz w:val="21"/>
        </w:rPr>
        <w:t xml:space="preserve"> </w:t>
      </w:r>
      <w:r>
        <w:rPr>
          <w:sz w:val="21"/>
        </w:rPr>
        <w:t>项要求制作投标文件，并在投标时上传加密的电子投标文</w:t>
      </w:r>
      <w:r>
        <w:rPr>
          <w:spacing w:val="-2"/>
          <w:sz w:val="21"/>
        </w:rPr>
        <w:t>件，未加密的电子投标文件，招标人</w:t>
      </w:r>
      <w:r>
        <w:rPr>
          <w:rFonts w:ascii="Calibri" w:hAnsi="Calibri" w:eastAsia="Calibri"/>
          <w:spacing w:val="-2"/>
          <w:sz w:val="21"/>
        </w:rPr>
        <w:t>(“</w:t>
      </w:r>
      <w:r>
        <w:rPr>
          <w:spacing w:val="-2"/>
          <w:sz w:val="21"/>
        </w:rPr>
        <w:t>电子交易平台</w:t>
      </w:r>
      <w:r>
        <w:rPr>
          <w:rFonts w:ascii="Calibri" w:hAnsi="Calibri" w:eastAsia="Calibri"/>
          <w:spacing w:val="-2"/>
          <w:sz w:val="21"/>
        </w:rPr>
        <w:t>”)</w:t>
      </w:r>
      <w:r>
        <w:rPr>
          <w:spacing w:val="-2"/>
          <w:sz w:val="21"/>
        </w:rPr>
        <w:t>将拒收并提示。</w:t>
      </w:r>
    </w:p>
    <w:p w14:paraId="2C454965">
      <w:pPr>
        <w:pStyle w:val="82"/>
        <w:numPr>
          <w:ilvl w:val="1"/>
          <w:numId w:val="3"/>
        </w:numPr>
        <w:tabs>
          <w:tab w:val="left" w:pos="1763"/>
        </w:tabs>
        <w:spacing w:before="59" w:after="0" w:line="240" w:lineRule="auto"/>
        <w:ind w:left="1763" w:right="0" w:hanging="676"/>
        <w:jc w:val="left"/>
        <w:rPr>
          <w:rFonts w:ascii="Arial" w:eastAsia="Arial"/>
          <w:sz w:val="24"/>
        </w:rPr>
      </w:pPr>
      <w:bookmarkStart w:id="202" w:name="4.2  投标文件的递交"/>
      <w:bookmarkEnd w:id="202"/>
      <w:r>
        <w:rPr>
          <w:spacing w:val="-2"/>
          <w:sz w:val="24"/>
        </w:rPr>
        <w:t>投标文件的递交</w:t>
      </w:r>
    </w:p>
    <w:p w14:paraId="0CEF3BAA">
      <w:pPr>
        <w:pStyle w:val="82"/>
        <w:numPr>
          <w:ilvl w:val="2"/>
          <w:numId w:val="3"/>
        </w:numPr>
        <w:tabs>
          <w:tab w:val="left" w:pos="1714"/>
        </w:tabs>
        <w:spacing w:before="20" w:after="0" w:line="272" w:lineRule="exact"/>
        <w:ind w:left="1714" w:right="0" w:hanging="491"/>
        <w:jc w:val="left"/>
        <w:rPr>
          <w:sz w:val="21"/>
        </w:rPr>
      </w:pPr>
      <w:r>
        <w:rPr>
          <w:sz w:val="21"/>
        </w:rPr>
        <w:t>投标人递交投标文件的截止时间（投标截止时间</w:t>
      </w:r>
      <w:r>
        <w:rPr>
          <w:spacing w:val="-105"/>
          <w:sz w:val="21"/>
        </w:rPr>
        <w:t>）</w:t>
      </w:r>
      <w:r>
        <w:rPr>
          <w:spacing w:val="-1"/>
          <w:sz w:val="21"/>
        </w:rPr>
        <w:t>：见投标人须知前附表。</w:t>
      </w:r>
    </w:p>
    <w:p w14:paraId="489AFB89">
      <w:pPr>
        <w:pStyle w:val="82"/>
        <w:numPr>
          <w:ilvl w:val="2"/>
          <w:numId w:val="3"/>
        </w:numPr>
        <w:tabs>
          <w:tab w:val="left" w:pos="1759"/>
        </w:tabs>
        <w:spacing w:before="0" w:after="0" w:line="240" w:lineRule="auto"/>
        <w:ind w:left="802" w:right="765" w:firstLine="420"/>
        <w:jc w:val="left"/>
        <w:rPr>
          <w:sz w:val="21"/>
        </w:rPr>
      </w:pPr>
      <w:r>
        <w:rPr>
          <w:sz w:val="21"/>
        </w:rPr>
        <w:t xml:space="preserve">投标人应当在投标截止时间前，通过互联网使用 </w:t>
      </w:r>
      <w:r>
        <w:rPr>
          <w:rFonts w:ascii="Calibri" w:hAnsi="Calibri" w:eastAsia="Calibri"/>
          <w:sz w:val="21"/>
        </w:rPr>
        <w:t>CA</w:t>
      </w:r>
      <w:r>
        <w:rPr>
          <w:rFonts w:ascii="Calibri" w:hAnsi="Calibri" w:eastAsia="Calibri"/>
          <w:spacing w:val="40"/>
          <w:sz w:val="21"/>
        </w:rPr>
        <w:t xml:space="preserve"> </w:t>
      </w:r>
      <w:r>
        <w:rPr>
          <w:spacing w:val="1"/>
          <w:sz w:val="21"/>
        </w:rPr>
        <w:t>数字证书登录</w:t>
      </w:r>
      <w:r>
        <w:rPr>
          <w:rFonts w:ascii="Calibri" w:hAnsi="Calibri" w:eastAsia="Calibri"/>
          <w:sz w:val="21"/>
        </w:rPr>
        <w:t>“</w:t>
      </w:r>
      <w:r>
        <w:rPr>
          <w:spacing w:val="2"/>
          <w:sz w:val="21"/>
        </w:rPr>
        <w:t>电子交易平</w:t>
      </w:r>
      <w:r>
        <w:rPr>
          <w:spacing w:val="-2"/>
          <w:sz w:val="21"/>
        </w:rPr>
        <w:t>台</w:t>
      </w:r>
      <w:r>
        <w:rPr>
          <w:rFonts w:ascii="Calibri" w:hAnsi="Calibri" w:eastAsia="Calibri"/>
          <w:spacing w:val="-2"/>
          <w:sz w:val="21"/>
        </w:rPr>
        <w:t>”</w:t>
      </w:r>
      <w:r>
        <w:rPr>
          <w:spacing w:val="-2"/>
          <w:sz w:val="21"/>
        </w:rPr>
        <w:t>，选择所投标段将加密的电子投标文件上传。投标人完成投标文件上传后，</w:t>
      </w:r>
      <w:r>
        <w:rPr>
          <w:rFonts w:ascii="Calibri" w:hAnsi="Calibri" w:eastAsia="Calibri"/>
          <w:spacing w:val="-2"/>
          <w:sz w:val="21"/>
        </w:rPr>
        <w:t>“</w:t>
      </w:r>
      <w:r>
        <w:rPr>
          <w:spacing w:val="-2"/>
          <w:sz w:val="21"/>
        </w:rPr>
        <w:t>电子交易平</w:t>
      </w:r>
      <w:r>
        <w:rPr>
          <w:sz w:val="21"/>
        </w:rPr>
        <w:t>台</w:t>
      </w:r>
      <w:r>
        <w:rPr>
          <w:rFonts w:ascii="Calibri" w:hAnsi="Calibri" w:eastAsia="Calibri"/>
          <w:sz w:val="21"/>
        </w:rPr>
        <w:t>”</w:t>
      </w:r>
      <w:r>
        <w:rPr>
          <w:sz w:val="21"/>
        </w:rPr>
        <w:t>即时向投标人发出电子签收凭证，递交时间以电子签收凭证载明的传输完成时间为准。</w:t>
      </w:r>
      <w:r>
        <w:rPr>
          <w:spacing w:val="-2"/>
          <w:sz w:val="21"/>
        </w:rPr>
        <w:t>投标人应充分考虑上传文件时的不可预见因素，投标文件未在投标截止时间前完成上传的，视为逾期送达，招标人</w:t>
      </w:r>
      <w:r>
        <w:rPr>
          <w:rFonts w:ascii="Calibri" w:hAnsi="Calibri" w:eastAsia="Calibri"/>
          <w:spacing w:val="-2"/>
          <w:sz w:val="21"/>
        </w:rPr>
        <w:t>(“</w:t>
      </w:r>
      <w:r>
        <w:rPr>
          <w:spacing w:val="-2"/>
          <w:sz w:val="21"/>
        </w:rPr>
        <w:t>电子交易平台</w:t>
      </w:r>
      <w:r>
        <w:rPr>
          <w:rFonts w:ascii="Calibri" w:hAnsi="Calibri" w:eastAsia="Calibri"/>
          <w:spacing w:val="-2"/>
          <w:sz w:val="21"/>
        </w:rPr>
        <w:t>”)</w:t>
      </w:r>
      <w:r>
        <w:rPr>
          <w:spacing w:val="-2"/>
          <w:sz w:val="21"/>
        </w:rPr>
        <w:t>将拒收。</w:t>
      </w:r>
    </w:p>
    <w:p w14:paraId="5E8EEEC0">
      <w:pPr>
        <w:pStyle w:val="82"/>
        <w:numPr>
          <w:ilvl w:val="1"/>
          <w:numId w:val="3"/>
        </w:numPr>
        <w:tabs>
          <w:tab w:val="left" w:pos="1535"/>
        </w:tabs>
        <w:spacing w:before="164" w:after="0" w:line="240" w:lineRule="auto"/>
        <w:ind w:left="1535" w:right="0" w:hanging="448"/>
        <w:jc w:val="left"/>
        <w:rPr>
          <w:rFonts w:ascii="Arial" w:eastAsia="Arial"/>
          <w:sz w:val="24"/>
        </w:rPr>
      </w:pPr>
      <w:bookmarkStart w:id="203" w:name="4.3 投标文件的修改与撤回"/>
      <w:bookmarkEnd w:id="203"/>
      <w:r>
        <w:rPr>
          <w:spacing w:val="-1"/>
          <w:sz w:val="24"/>
        </w:rPr>
        <w:t>投标文件的修改与撤回</w:t>
      </w:r>
    </w:p>
    <w:p w14:paraId="2F470A60">
      <w:pPr>
        <w:pStyle w:val="82"/>
        <w:numPr>
          <w:ilvl w:val="2"/>
          <w:numId w:val="3"/>
        </w:numPr>
        <w:tabs>
          <w:tab w:val="left" w:pos="1713"/>
        </w:tabs>
        <w:spacing w:before="19" w:after="0" w:line="249" w:lineRule="auto"/>
        <w:ind w:left="802" w:right="858" w:firstLine="420"/>
        <w:jc w:val="left"/>
        <w:rPr>
          <w:sz w:val="21"/>
        </w:rPr>
      </w:pPr>
      <w:r>
        <w:rPr>
          <w:spacing w:val="-10"/>
          <w:sz w:val="21"/>
        </w:rPr>
        <w:t xml:space="preserve">在本章第 </w:t>
      </w:r>
      <w:r>
        <w:rPr>
          <w:rFonts w:ascii="Calibri" w:eastAsia="Calibri"/>
          <w:sz w:val="21"/>
        </w:rPr>
        <w:t>4.2.1</w:t>
      </w:r>
      <w:r>
        <w:rPr>
          <w:rFonts w:ascii="Calibri" w:eastAsia="Calibri"/>
          <w:spacing w:val="-10"/>
          <w:sz w:val="21"/>
        </w:rPr>
        <w:t xml:space="preserve"> </w:t>
      </w:r>
      <w:r>
        <w:rPr>
          <w:spacing w:val="-5"/>
          <w:sz w:val="21"/>
        </w:rPr>
        <w:t>项规定的投标截止时间前，投标人可以修改或撤回已递交的投标文</w:t>
      </w:r>
      <w:r>
        <w:rPr>
          <w:spacing w:val="-6"/>
          <w:sz w:val="21"/>
        </w:rPr>
        <w:t>件。</w:t>
      </w:r>
    </w:p>
    <w:p w14:paraId="209DB7F5">
      <w:pPr>
        <w:pStyle w:val="82"/>
        <w:numPr>
          <w:ilvl w:val="2"/>
          <w:numId w:val="3"/>
        </w:numPr>
        <w:tabs>
          <w:tab w:val="left" w:pos="1714"/>
        </w:tabs>
        <w:spacing w:before="0" w:after="0" w:line="259" w:lineRule="exact"/>
        <w:ind w:left="1714" w:right="0" w:hanging="491"/>
        <w:jc w:val="left"/>
        <w:rPr>
          <w:sz w:val="21"/>
        </w:rPr>
      </w:pPr>
      <w:r>
        <w:rPr>
          <w:spacing w:val="-2"/>
          <w:sz w:val="21"/>
        </w:rPr>
        <w:t>投标人撤回投标文件的，在</w:t>
      </w:r>
      <w:r>
        <w:rPr>
          <w:rFonts w:ascii="Calibri" w:hAnsi="Calibri" w:eastAsia="Calibri"/>
          <w:spacing w:val="-2"/>
          <w:sz w:val="21"/>
        </w:rPr>
        <w:t>“</w:t>
      </w:r>
      <w:r>
        <w:rPr>
          <w:spacing w:val="-2"/>
          <w:sz w:val="21"/>
        </w:rPr>
        <w:t>电子交易平台</w:t>
      </w:r>
      <w:r>
        <w:rPr>
          <w:rFonts w:ascii="Calibri" w:hAnsi="Calibri" w:eastAsia="Calibri"/>
          <w:spacing w:val="-2"/>
          <w:sz w:val="21"/>
        </w:rPr>
        <w:t>”</w:t>
      </w:r>
      <w:r>
        <w:rPr>
          <w:spacing w:val="-3"/>
          <w:sz w:val="21"/>
        </w:rPr>
        <w:t>直接进行撤回操作。</w:t>
      </w:r>
    </w:p>
    <w:p w14:paraId="7ABE8A5B">
      <w:pPr>
        <w:pStyle w:val="82"/>
        <w:numPr>
          <w:ilvl w:val="2"/>
          <w:numId w:val="3"/>
        </w:numPr>
        <w:tabs>
          <w:tab w:val="left" w:pos="1760"/>
        </w:tabs>
        <w:spacing w:before="0" w:after="0" w:line="270" w:lineRule="exact"/>
        <w:ind w:left="1760" w:right="0" w:hanging="537"/>
        <w:jc w:val="left"/>
        <w:rPr>
          <w:sz w:val="21"/>
        </w:rPr>
      </w:pPr>
      <w:r>
        <w:rPr>
          <w:spacing w:val="-13"/>
          <w:sz w:val="21"/>
        </w:rPr>
        <w:t xml:space="preserve">投标人修改投标文件的，应当先按本章第 </w:t>
      </w:r>
      <w:r>
        <w:rPr>
          <w:rFonts w:ascii="Calibri" w:hAnsi="Calibri" w:eastAsia="Calibri"/>
          <w:sz w:val="21"/>
        </w:rPr>
        <w:t>4.3.2</w:t>
      </w:r>
      <w:r>
        <w:rPr>
          <w:rFonts w:ascii="Calibri" w:hAnsi="Calibri" w:eastAsia="Calibri"/>
          <w:spacing w:val="3"/>
          <w:sz w:val="21"/>
        </w:rPr>
        <w:t xml:space="preserve"> </w:t>
      </w:r>
      <w:r>
        <w:rPr>
          <w:spacing w:val="-10"/>
          <w:sz w:val="21"/>
        </w:rPr>
        <w:t>项的规定撤回投标文件，再使用</w:t>
      </w:r>
      <w:r>
        <w:rPr>
          <w:rFonts w:ascii="Calibri" w:hAnsi="Calibri" w:eastAsia="Calibri"/>
          <w:sz w:val="21"/>
        </w:rPr>
        <w:t>“</w:t>
      </w:r>
      <w:r>
        <w:rPr>
          <w:spacing w:val="-10"/>
          <w:sz w:val="21"/>
        </w:rPr>
        <w:t>电</w:t>
      </w:r>
    </w:p>
    <w:p w14:paraId="773E60E4">
      <w:pPr>
        <w:spacing w:before="0" w:line="272" w:lineRule="exact"/>
        <w:ind w:left="802" w:right="0" w:firstLine="0"/>
        <w:jc w:val="left"/>
        <w:rPr>
          <w:sz w:val="21"/>
        </w:rPr>
      </w:pPr>
      <w:r>
        <w:rPr>
          <w:sz w:val="21"/>
        </w:rPr>
        <w:t>子投标文件制作软件</w:t>
      </w:r>
      <w:r>
        <w:rPr>
          <w:rFonts w:ascii="Calibri" w:hAnsi="Calibri" w:eastAsia="Calibri"/>
          <w:sz w:val="21"/>
        </w:rPr>
        <w:t>”</w:t>
      </w:r>
      <w:r>
        <w:rPr>
          <w:spacing w:val="-3"/>
          <w:sz w:val="21"/>
        </w:rPr>
        <w:t xml:space="preserve">制作成完整的投标文件，并按照本章第 </w:t>
      </w:r>
      <w:r>
        <w:rPr>
          <w:rFonts w:ascii="Calibri" w:hAnsi="Calibri" w:eastAsia="Calibri"/>
          <w:sz w:val="21"/>
        </w:rPr>
        <w:t>3</w:t>
      </w:r>
      <w:r>
        <w:rPr>
          <w:rFonts w:ascii="Calibri" w:hAnsi="Calibri" w:eastAsia="Calibri"/>
          <w:spacing w:val="10"/>
          <w:sz w:val="21"/>
        </w:rPr>
        <w:t xml:space="preserve"> </w:t>
      </w:r>
      <w:r>
        <w:rPr>
          <w:spacing w:val="-12"/>
          <w:sz w:val="21"/>
        </w:rPr>
        <w:t xml:space="preserve">条、第 </w:t>
      </w:r>
      <w:r>
        <w:rPr>
          <w:rFonts w:ascii="Calibri" w:hAnsi="Calibri" w:eastAsia="Calibri"/>
          <w:sz w:val="21"/>
        </w:rPr>
        <w:t>4</w:t>
      </w:r>
      <w:r>
        <w:rPr>
          <w:rFonts w:ascii="Calibri" w:hAnsi="Calibri" w:eastAsia="Calibri"/>
          <w:spacing w:val="11"/>
          <w:sz w:val="21"/>
        </w:rPr>
        <w:t xml:space="preserve"> </w:t>
      </w:r>
      <w:r>
        <w:rPr>
          <w:spacing w:val="-2"/>
          <w:sz w:val="21"/>
        </w:rPr>
        <w:t>条规定进行编制和</w:t>
      </w:r>
    </w:p>
    <w:p w14:paraId="0426384C">
      <w:pPr>
        <w:spacing w:after="0" w:line="272" w:lineRule="exact"/>
        <w:jc w:val="left"/>
        <w:rPr>
          <w:sz w:val="21"/>
        </w:rPr>
        <w:sectPr>
          <w:pgSz w:w="11910" w:h="16850"/>
          <w:pgMar w:top="1500" w:right="920" w:bottom="1060" w:left="1000" w:header="0" w:footer="866" w:gutter="0"/>
          <w:cols w:space="720" w:num="1"/>
        </w:sectPr>
      </w:pPr>
    </w:p>
    <w:p w14:paraId="6EF3C147">
      <w:pPr>
        <w:spacing w:before="52"/>
        <w:ind w:left="802" w:right="0" w:firstLine="0"/>
        <w:jc w:val="left"/>
        <w:rPr>
          <w:sz w:val="21"/>
        </w:rPr>
      </w:pPr>
      <w:r>
        <w:rPr>
          <w:spacing w:val="-4"/>
          <w:sz w:val="21"/>
        </w:rPr>
        <w:t>递交。</w:t>
      </w:r>
    </w:p>
    <w:p w14:paraId="05AB52FB">
      <w:pPr>
        <w:pStyle w:val="82"/>
        <w:numPr>
          <w:ilvl w:val="0"/>
          <w:numId w:val="3"/>
        </w:numPr>
        <w:tabs>
          <w:tab w:val="left" w:pos="1521"/>
        </w:tabs>
        <w:spacing w:before="12" w:after="0" w:line="240" w:lineRule="auto"/>
        <w:ind w:left="1521" w:right="0" w:hanging="298"/>
        <w:jc w:val="both"/>
        <w:rPr>
          <w:sz w:val="24"/>
        </w:rPr>
      </w:pPr>
      <w:bookmarkStart w:id="204" w:name="5. 开标"/>
      <w:bookmarkEnd w:id="204"/>
      <w:bookmarkStart w:id="205" w:name="_bookmark9"/>
      <w:bookmarkEnd w:id="205"/>
      <w:r>
        <w:rPr>
          <w:spacing w:val="-5"/>
          <w:sz w:val="24"/>
        </w:rPr>
        <w:t>开标</w:t>
      </w:r>
    </w:p>
    <w:p w14:paraId="2BCA1E9F">
      <w:pPr>
        <w:pStyle w:val="82"/>
        <w:numPr>
          <w:ilvl w:val="1"/>
          <w:numId w:val="3"/>
        </w:numPr>
        <w:tabs>
          <w:tab w:val="left" w:pos="1535"/>
        </w:tabs>
        <w:spacing w:before="304" w:after="0" w:line="240" w:lineRule="auto"/>
        <w:ind w:left="1535" w:right="0" w:hanging="448"/>
        <w:jc w:val="both"/>
        <w:rPr>
          <w:rFonts w:ascii="Arial" w:eastAsia="Arial"/>
          <w:sz w:val="24"/>
        </w:rPr>
      </w:pPr>
      <w:bookmarkStart w:id="206" w:name="5.1 开标时间和地点"/>
      <w:bookmarkEnd w:id="206"/>
      <w:r>
        <w:rPr>
          <w:spacing w:val="-2"/>
          <w:sz w:val="24"/>
        </w:rPr>
        <w:t>开标时间和地点</w:t>
      </w:r>
    </w:p>
    <w:p w14:paraId="28162719">
      <w:pPr>
        <w:pStyle w:val="82"/>
        <w:numPr>
          <w:ilvl w:val="2"/>
          <w:numId w:val="3"/>
        </w:numPr>
        <w:tabs>
          <w:tab w:val="left" w:pos="1729"/>
        </w:tabs>
        <w:spacing w:before="35" w:after="0" w:line="237" w:lineRule="auto"/>
        <w:ind w:left="802" w:right="864" w:firstLine="420"/>
        <w:jc w:val="both"/>
        <w:rPr>
          <w:sz w:val="21"/>
        </w:rPr>
      </w:pPr>
      <w:r>
        <w:rPr>
          <w:spacing w:val="-4"/>
          <w:sz w:val="21"/>
        </w:rPr>
        <w:t xml:space="preserve">招标人在本章第 </w:t>
      </w:r>
      <w:r>
        <w:rPr>
          <w:rFonts w:ascii="Calibri" w:hAnsi="Calibri" w:eastAsia="Calibri"/>
          <w:sz w:val="21"/>
        </w:rPr>
        <w:t>4.2.1</w:t>
      </w:r>
      <w:r>
        <w:rPr>
          <w:rFonts w:ascii="Calibri" w:hAnsi="Calibri" w:eastAsia="Calibri"/>
          <w:spacing w:val="-8"/>
          <w:sz w:val="21"/>
        </w:rPr>
        <w:t xml:space="preserve"> </w:t>
      </w:r>
      <w:r>
        <w:rPr>
          <w:sz w:val="21"/>
        </w:rPr>
        <w:t>项规定的投标截止时间</w:t>
      </w:r>
      <w:r>
        <w:rPr>
          <w:rFonts w:ascii="Calibri" w:hAnsi="Calibri" w:eastAsia="Calibri"/>
          <w:sz w:val="21"/>
        </w:rPr>
        <w:t>(</w:t>
      </w:r>
      <w:r>
        <w:rPr>
          <w:sz w:val="21"/>
        </w:rPr>
        <w:t>开标时间</w:t>
      </w:r>
      <w:r>
        <w:rPr>
          <w:rFonts w:ascii="Calibri" w:hAnsi="Calibri" w:eastAsia="Calibri"/>
          <w:sz w:val="21"/>
        </w:rPr>
        <w:t>)</w:t>
      </w:r>
      <w:r>
        <w:rPr>
          <w:sz w:val="21"/>
        </w:rPr>
        <w:t>在</w:t>
      </w:r>
      <w:r>
        <w:rPr>
          <w:rFonts w:ascii="Calibri" w:hAnsi="Calibri" w:eastAsia="Calibri"/>
          <w:sz w:val="21"/>
        </w:rPr>
        <w:t>“</w:t>
      </w:r>
      <w:r>
        <w:rPr>
          <w:sz w:val="21"/>
        </w:rPr>
        <w:t>电子交易平台</w:t>
      </w:r>
      <w:r>
        <w:rPr>
          <w:rFonts w:ascii="Calibri" w:hAnsi="Calibri" w:eastAsia="Calibri"/>
          <w:sz w:val="21"/>
        </w:rPr>
        <w:t>”</w:t>
      </w:r>
      <w:r>
        <w:rPr>
          <w:sz w:val="21"/>
        </w:rPr>
        <w:t>上公开</w:t>
      </w:r>
      <w:r>
        <w:rPr>
          <w:spacing w:val="-2"/>
          <w:sz w:val="21"/>
        </w:rPr>
        <w:t>进行开标，所有投标人均应当准时在线参加开标。</w:t>
      </w:r>
    </w:p>
    <w:p w14:paraId="7A0E6BBF">
      <w:pPr>
        <w:pStyle w:val="82"/>
        <w:numPr>
          <w:ilvl w:val="2"/>
          <w:numId w:val="3"/>
        </w:numPr>
        <w:tabs>
          <w:tab w:val="left" w:pos="1760"/>
        </w:tabs>
        <w:spacing w:before="0" w:after="0" w:line="269" w:lineRule="exact"/>
        <w:ind w:left="1760" w:right="0" w:hanging="537"/>
        <w:jc w:val="both"/>
        <w:rPr>
          <w:sz w:val="21"/>
        </w:rPr>
      </w:pPr>
      <w:r>
        <w:rPr>
          <w:spacing w:val="-1"/>
          <w:sz w:val="21"/>
        </w:rPr>
        <w:t>招标人通过互联网在投标人须知前附表规定的地点组织开标，并在投标截止时间</w:t>
      </w:r>
    </w:p>
    <w:p w14:paraId="47F0E3A8">
      <w:pPr>
        <w:spacing w:before="1" w:line="237" w:lineRule="auto"/>
        <w:ind w:left="802" w:right="864" w:firstLine="0"/>
        <w:jc w:val="both"/>
        <w:rPr>
          <w:sz w:val="21"/>
        </w:rPr>
      </w:pPr>
      <w:r>
        <w:rPr>
          <w:rFonts w:ascii="Calibri" w:hAnsi="Calibri" w:eastAsia="Calibri"/>
          <w:sz w:val="21"/>
        </w:rPr>
        <w:t>30</w:t>
      </w:r>
      <w:r>
        <w:rPr>
          <w:rFonts w:ascii="Calibri" w:hAnsi="Calibri" w:eastAsia="Calibri"/>
          <w:spacing w:val="-12"/>
          <w:sz w:val="21"/>
        </w:rPr>
        <w:t xml:space="preserve"> </w:t>
      </w:r>
      <w:r>
        <w:rPr>
          <w:spacing w:val="-4"/>
          <w:sz w:val="21"/>
        </w:rPr>
        <w:t xml:space="preserve">分钟前，使用 </w:t>
      </w:r>
      <w:r>
        <w:rPr>
          <w:rFonts w:ascii="Calibri" w:hAnsi="Calibri" w:eastAsia="Calibri"/>
          <w:sz w:val="21"/>
        </w:rPr>
        <w:t>CA</w:t>
      </w:r>
      <w:r>
        <w:rPr>
          <w:rFonts w:ascii="Calibri" w:hAnsi="Calibri" w:eastAsia="Calibri"/>
          <w:spacing w:val="-11"/>
          <w:sz w:val="21"/>
        </w:rPr>
        <w:t xml:space="preserve"> </w:t>
      </w:r>
      <w:r>
        <w:rPr>
          <w:sz w:val="21"/>
        </w:rPr>
        <w:t>数字证书登录</w:t>
      </w:r>
      <w:r>
        <w:rPr>
          <w:rFonts w:ascii="Calibri" w:hAnsi="Calibri" w:eastAsia="Calibri"/>
          <w:sz w:val="21"/>
        </w:rPr>
        <w:t>“</w:t>
      </w:r>
      <w:r>
        <w:rPr>
          <w:sz w:val="21"/>
        </w:rPr>
        <w:t>电子交易平台</w:t>
      </w:r>
      <w:r>
        <w:rPr>
          <w:rFonts w:ascii="Calibri" w:hAnsi="Calibri" w:eastAsia="Calibri"/>
          <w:sz w:val="21"/>
        </w:rPr>
        <w:t>”</w:t>
      </w:r>
      <w:r>
        <w:rPr>
          <w:sz w:val="21"/>
        </w:rPr>
        <w:t>，进入</w:t>
      </w:r>
      <w:r>
        <w:rPr>
          <w:rFonts w:ascii="Calibri" w:hAnsi="Calibri" w:eastAsia="Calibri"/>
          <w:sz w:val="21"/>
        </w:rPr>
        <w:t>“</w:t>
      </w:r>
      <w:r>
        <w:rPr>
          <w:sz w:val="21"/>
        </w:rPr>
        <w:t>开标大厅</w:t>
      </w:r>
      <w:r>
        <w:rPr>
          <w:rFonts w:ascii="Calibri" w:hAnsi="Calibri" w:eastAsia="Calibri"/>
          <w:sz w:val="21"/>
        </w:rPr>
        <w:t>”</w:t>
      </w:r>
      <w:r>
        <w:rPr>
          <w:sz w:val="21"/>
        </w:rPr>
        <w:t>选择相应标段作在线开</w:t>
      </w:r>
      <w:r>
        <w:rPr>
          <w:spacing w:val="-2"/>
          <w:sz w:val="21"/>
        </w:rPr>
        <w:t>标的准备工作。</w:t>
      </w:r>
    </w:p>
    <w:p w14:paraId="3C7DC0CB">
      <w:pPr>
        <w:pStyle w:val="82"/>
        <w:numPr>
          <w:ilvl w:val="2"/>
          <w:numId w:val="3"/>
        </w:numPr>
        <w:tabs>
          <w:tab w:val="left" w:pos="1759"/>
        </w:tabs>
        <w:spacing w:before="0" w:after="0" w:line="244" w:lineRule="auto"/>
        <w:ind w:left="802" w:right="856" w:firstLine="420"/>
        <w:jc w:val="both"/>
        <w:rPr>
          <w:sz w:val="21"/>
        </w:rPr>
      </w:pPr>
      <w:r>
        <w:rPr>
          <w:spacing w:val="-2"/>
          <w:sz w:val="21"/>
        </w:rPr>
        <w:t xml:space="preserve">投标人应当在能够保证设施设备可靠、互联网畅通的任意地点，通过互联网在线参加开标。在投标截止时间前，使用加密其投标文件的 </w:t>
      </w:r>
      <w:r>
        <w:rPr>
          <w:rFonts w:ascii="Calibri" w:hAnsi="Calibri" w:eastAsia="Calibri"/>
          <w:sz w:val="21"/>
        </w:rPr>
        <w:t>CA</w:t>
      </w:r>
      <w:r>
        <w:rPr>
          <w:rFonts w:ascii="Calibri" w:hAnsi="Calibri" w:eastAsia="Calibri"/>
          <w:spacing w:val="-12"/>
          <w:sz w:val="21"/>
        </w:rPr>
        <w:t xml:space="preserve"> </w:t>
      </w:r>
      <w:r>
        <w:rPr>
          <w:sz w:val="21"/>
        </w:rPr>
        <w:t>数字证书登录</w:t>
      </w:r>
      <w:r>
        <w:rPr>
          <w:rFonts w:ascii="Calibri" w:hAnsi="Calibri" w:eastAsia="Calibri"/>
          <w:sz w:val="21"/>
        </w:rPr>
        <w:t>“</w:t>
      </w:r>
      <w:r>
        <w:rPr>
          <w:sz w:val="21"/>
        </w:rPr>
        <w:t>电子交易平台</w:t>
      </w:r>
      <w:r>
        <w:rPr>
          <w:rFonts w:ascii="Calibri" w:hAnsi="Calibri" w:eastAsia="Calibri"/>
          <w:sz w:val="21"/>
        </w:rPr>
        <w:t>”</w:t>
      </w:r>
      <w:r>
        <w:rPr>
          <w:sz w:val="21"/>
        </w:rPr>
        <w:t>，</w:t>
      </w:r>
      <w:r>
        <w:rPr>
          <w:spacing w:val="-2"/>
          <w:sz w:val="21"/>
        </w:rPr>
        <w:t>进入</w:t>
      </w:r>
      <w:r>
        <w:rPr>
          <w:rFonts w:ascii="Calibri" w:hAnsi="Calibri" w:eastAsia="Calibri"/>
          <w:spacing w:val="-2"/>
          <w:sz w:val="21"/>
        </w:rPr>
        <w:t>“</w:t>
      </w:r>
      <w:r>
        <w:rPr>
          <w:spacing w:val="-2"/>
          <w:sz w:val="21"/>
        </w:rPr>
        <w:t>开标大厅</w:t>
      </w:r>
      <w:r>
        <w:rPr>
          <w:rFonts w:ascii="Calibri" w:hAnsi="Calibri" w:eastAsia="Calibri"/>
          <w:spacing w:val="-2"/>
          <w:sz w:val="21"/>
        </w:rPr>
        <w:t>”</w:t>
      </w:r>
      <w:r>
        <w:rPr>
          <w:spacing w:val="-2"/>
          <w:sz w:val="21"/>
        </w:rPr>
        <w:t>选择所投标段进行签到，并实时在线关注招标人的操作情况。</w:t>
      </w:r>
    </w:p>
    <w:p w14:paraId="1F50E3EF">
      <w:pPr>
        <w:pStyle w:val="82"/>
        <w:numPr>
          <w:ilvl w:val="1"/>
          <w:numId w:val="3"/>
        </w:numPr>
        <w:tabs>
          <w:tab w:val="left" w:pos="1535"/>
        </w:tabs>
        <w:spacing w:before="153" w:after="0" w:line="240" w:lineRule="auto"/>
        <w:ind w:left="1535" w:right="0" w:hanging="448"/>
        <w:jc w:val="both"/>
        <w:rPr>
          <w:rFonts w:ascii="Arial" w:eastAsia="Arial"/>
          <w:sz w:val="24"/>
        </w:rPr>
      </w:pPr>
      <w:bookmarkStart w:id="207" w:name="5.2 开标程序"/>
      <w:bookmarkEnd w:id="207"/>
      <w:r>
        <w:rPr>
          <w:spacing w:val="-3"/>
          <w:sz w:val="24"/>
        </w:rPr>
        <w:t>开标程序</w:t>
      </w:r>
    </w:p>
    <w:p w14:paraId="2BBCFEE8">
      <w:pPr>
        <w:pStyle w:val="82"/>
        <w:numPr>
          <w:ilvl w:val="2"/>
          <w:numId w:val="3"/>
        </w:numPr>
        <w:tabs>
          <w:tab w:val="left" w:pos="1745"/>
        </w:tabs>
        <w:spacing w:before="19" w:after="0" w:line="271" w:lineRule="exact"/>
        <w:ind w:left="1745" w:right="0" w:hanging="522"/>
        <w:jc w:val="left"/>
        <w:rPr>
          <w:sz w:val="21"/>
        </w:rPr>
      </w:pPr>
      <w:r>
        <w:rPr>
          <w:sz w:val="21"/>
        </w:rPr>
        <w:t>主持人按下列程序在</w:t>
      </w:r>
      <w:r>
        <w:rPr>
          <w:rFonts w:ascii="Calibri" w:hAnsi="Calibri" w:eastAsia="Calibri"/>
          <w:sz w:val="21"/>
        </w:rPr>
        <w:t>“</w:t>
      </w:r>
      <w:r>
        <w:rPr>
          <w:sz w:val="21"/>
        </w:rPr>
        <w:t>电子交易平台</w:t>
      </w:r>
      <w:r>
        <w:rPr>
          <w:rFonts w:ascii="Calibri" w:hAnsi="Calibri" w:eastAsia="Calibri"/>
          <w:sz w:val="21"/>
        </w:rPr>
        <w:t>”</w:t>
      </w:r>
      <w:r>
        <w:rPr>
          <w:sz w:val="21"/>
        </w:rPr>
        <w:t>的</w:t>
      </w:r>
      <w:r>
        <w:rPr>
          <w:rFonts w:ascii="Calibri" w:hAnsi="Calibri" w:eastAsia="Calibri"/>
          <w:sz w:val="21"/>
        </w:rPr>
        <w:t>“</w:t>
      </w:r>
      <w:r>
        <w:rPr>
          <w:sz w:val="21"/>
        </w:rPr>
        <w:t>开标大厅</w:t>
      </w:r>
      <w:r>
        <w:rPr>
          <w:rFonts w:ascii="Calibri" w:hAnsi="Calibri" w:eastAsia="Calibri"/>
          <w:sz w:val="21"/>
        </w:rPr>
        <w:t>”</w:t>
      </w:r>
      <w:r>
        <w:rPr>
          <w:spacing w:val="-2"/>
          <w:sz w:val="21"/>
        </w:rPr>
        <w:t>进行在线开标：</w:t>
      </w:r>
    </w:p>
    <w:p w14:paraId="74414450">
      <w:pPr>
        <w:pStyle w:val="82"/>
        <w:numPr>
          <w:ilvl w:val="0"/>
          <w:numId w:val="13"/>
        </w:numPr>
        <w:tabs>
          <w:tab w:val="left" w:pos="1747"/>
        </w:tabs>
        <w:spacing w:before="0" w:after="0" w:line="272" w:lineRule="exact"/>
        <w:ind w:left="1747" w:right="0" w:hanging="524"/>
        <w:jc w:val="left"/>
        <w:rPr>
          <w:sz w:val="21"/>
        </w:rPr>
      </w:pPr>
      <w:r>
        <w:rPr>
          <w:spacing w:val="-2"/>
          <w:sz w:val="21"/>
        </w:rPr>
        <w:t>宣布开标纪律；</w:t>
      </w:r>
    </w:p>
    <w:p w14:paraId="29C3695A">
      <w:pPr>
        <w:pStyle w:val="82"/>
        <w:numPr>
          <w:ilvl w:val="0"/>
          <w:numId w:val="13"/>
        </w:numPr>
        <w:tabs>
          <w:tab w:val="left" w:pos="1747"/>
        </w:tabs>
        <w:spacing w:before="12" w:after="0" w:line="271" w:lineRule="exact"/>
        <w:ind w:left="1747" w:right="0" w:hanging="524"/>
        <w:jc w:val="left"/>
        <w:rPr>
          <w:sz w:val="21"/>
        </w:rPr>
      </w:pPr>
      <w:r>
        <w:rPr>
          <w:spacing w:val="-1"/>
          <w:sz w:val="21"/>
        </w:rPr>
        <w:t>公布主持人、招标人代表、监标人等有关人员姓名；</w:t>
      </w:r>
    </w:p>
    <w:p w14:paraId="16143318">
      <w:pPr>
        <w:pStyle w:val="82"/>
        <w:numPr>
          <w:ilvl w:val="0"/>
          <w:numId w:val="13"/>
        </w:numPr>
        <w:tabs>
          <w:tab w:val="left" w:pos="1747"/>
        </w:tabs>
        <w:spacing w:before="0" w:after="0" w:line="270" w:lineRule="exact"/>
        <w:ind w:left="1747" w:right="0" w:hanging="524"/>
        <w:jc w:val="left"/>
        <w:rPr>
          <w:sz w:val="21"/>
        </w:rPr>
      </w:pPr>
      <w:r>
        <w:rPr>
          <w:spacing w:val="-1"/>
          <w:sz w:val="21"/>
        </w:rPr>
        <w:t>公布在投标截止时间前投标文件的递交情况；</w:t>
      </w:r>
    </w:p>
    <w:p w14:paraId="00D2599B">
      <w:pPr>
        <w:pStyle w:val="82"/>
        <w:numPr>
          <w:ilvl w:val="0"/>
          <w:numId w:val="13"/>
        </w:numPr>
        <w:tabs>
          <w:tab w:val="left" w:pos="1747"/>
        </w:tabs>
        <w:spacing w:before="0" w:after="0" w:line="270" w:lineRule="exact"/>
        <w:ind w:left="1747" w:right="0" w:hanging="524"/>
        <w:jc w:val="left"/>
        <w:rPr>
          <w:sz w:val="21"/>
        </w:rPr>
      </w:pPr>
      <w:r>
        <w:rPr>
          <w:spacing w:val="-1"/>
          <w:sz w:val="21"/>
        </w:rPr>
        <w:t>公布投标保证金递交情况；</w:t>
      </w:r>
    </w:p>
    <w:p w14:paraId="1E612F7B">
      <w:pPr>
        <w:pStyle w:val="82"/>
        <w:numPr>
          <w:ilvl w:val="0"/>
          <w:numId w:val="13"/>
        </w:numPr>
        <w:tabs>
          <w:tab w:val="left" w:pos="1747"/>
        </w:tabs>
        <w:spacing w:before="0" w:after="0" w:line="270" w:lineRule="exact"/>
        <w:ind w:left="1747" w:right="0" w:hanging="524"/>
        <w:jc w:val="left"/>
        <w:rPr>
          <w:sz w:val="21"/>
        </w:rPr>
      </w:pPr>
      <w:r>
        <w:rPr>
          <w:spacing w:val="-1"/>
          <w:sz w:val="21"/>
        </w:rPr>
        <w:t>投标人根据提示在投标人须知前附表规定的时间内解密投标文件；</w:t>
      </w:r>
    </w:p>
    <w:p w14:paraId="10FBEACD">
      <w:pPr>
        <w:pStyle w:val="82"/>
        <w:numPr>
          <w:ilvl w:val="0"/>
          <w:numId w:val="13"/>
        </w:numPr>
        <w:tabs>
          <w:tab w:val="left" w:pos="1747"/>
        </w:tabs>
        <w:spacing w:before="0" w:after="0" w:line="270" w:lineRule="exact"/>
        <w:ind w:left="1747" w:right="0" w:hanging="524"/>
        <w:jc w:val="left"/>
        <w:rPr>
          <w:sz w:val="21"/>
        </w:rPr>
      </w:pPr>
      <w:r>
        <w:rPr>
          <w:spacing w:val="-1"/>
          <w:sz w:val="21"/>
        </w:rPr>
        <w:t>读取已解密的投标文件的内容；</w:t>
      </w:r>
    </w:p>
    <w:p w14:paraId="179DCE8B">
      <w:pPr>
        <w:pStyle w:val="82"/>
        <w:numPr>
          <w:ilvl w:val="0"/>
          <w:numId w:val="13"/>
        </w:numPr>
        <w:tabs>
          <w:tab w:val="left" w:pos="1731"/>
        </w:tabs>
        <w:spacing w:before="1" w:after="0" w:line="237" w:lineRule="auto"/>
        <w:ind w:left="802" w:right="760" w:firstLine="420"/>
        <w:jc w:val="left"/>
        <w:rPr>
          <w:sz w:val="21"/>
        </w:rPr>
      </w:pPr>
      <w:r>
        <w:rPr>
          <w:spacing w:val="-2"/>
          <w:sz w:val="21"/>
        </w:rPr>
        <w:t>公布项目及标段名称、投标人名称、投标保证金的递交情况、投标报价、服务期、项目负责人姓名及其他内容，并生成开标记录；</w:t>
      </w:r>
    </w:p>
    <w:p w14:paraId="54CE761F">
      <w:pPr>
        <w:pStyle w:val="82"/>
        <w:numPr>
          <w:ilvl w:val="0"/>
          <w:numId w:val="13"/>
        </w:numPr>
        <w:tabs>
          <w:tab w:val="left" w:pos="1747"/>
        </w:tabs>
        <w:spacing w:before="13" w:after="0" w:line="272" w:lineRule="exact"/>
        <w:ind w:left="1747" w:right="0" w:hanging="524"/>
        <w:jc w:val="left"/>
        <w:rPr>
          <w:sz w:val="21"/>
        </w:rPr>
      </w:pPr>
      <w:r>
        <w:rPr>
          <w:spacing w:val="-2"/>
          <w:sz w:val="21"/>
        </w:rPr>
        <w:t>开标结束。</w:t>
      </w:r>
    </w:p>
    <w:p w14:paraId="3BAA0288">
      <w:pPr>
        <w:pStyle w:val="82"/>
        <w:numPr>
          <w:ilvl w:val="2"/>
          <w:numId w:val="3"/>
        </w:numPr>
        <w:tabs>
          <w:tab w:val="left" w:pos="1759"/>
        </w:tabs>
        <w:spacing w:before="1" w:after="0" w:line="237" w:lineRule="auto"/>
        <w:ind w:left="802" w:right="876" w:firstLine="420"/>
        <w:jc w:val="both"/>
        <w:rPr>
          <w:sz w:val="21"/>
        </w:rPr>
      </w:pPr>
      <w:r>
        <w:rPr>
          <w:spacing w:val="-2"/>
          <w:sz w:val="21"/>
        </w:rPr>
        <w:t xml:space="preserve">在本章第 </w:t>
      </w:r>
      <w:r>
        <w:rPr>
          <w:rFonts w:ascii="Calibri" w:hAnsi="Calibri" w:eastAsia="Calibri"/>
          <w:sz w:val="21"/>
        </w:rPr>
        <w:t>5.2.1</w:t>
      </w:r>
      <w:r>
        <w:rPr>
          <w:sz w:val="21"/>
        </w:rPr>
        <w:t>（</w:t>
      </w:r>
      <w:r>
        <w:rPr>
          <w:rFonts w:ascii="Calibri" w:hAnsi="Calibri" w:eastAsia="Calibri"/>
          <w:sz w:val="21"/>
        </w:rPr>
        <w:t>5</w:t>
      </w:r>
      <w:r>
        <w:rPr>
          <w:sz w:val="21"/>
        </w:rPr>
        <w:t>）目规定的时间内，非因</w:t>
      </w:r>
      <w:r>
        <w:rPr>
          <w:rFonts w:ascii="Calibri" w:hAnsi="Calibri" w:eastAsia="Calibri"/>
          <w:sz w:val="21"/>
        </w:rPr>
        <w:t>“</w:t>
      </w:r>
      <w:r>
        <w:rPr>
          <w:sz w:val="21"/>
        </w:rPr>
        <w:t>电子交易平台</w:t>
      </w:r>
      <w:r>
        <w:rPr>
          <w:rFonts w:ascii="Calibri" w:hAnsi="Calibri" w:eastAsia="Calibri"/>
          <w:sz w:val="21"/>
        </w:rPr>
        <w:t>”</w:t>
      </w:r>
      <w:r>
        <w:rPr>
          <w:sz w:val="21"/>
        </w:rPr>
        <w:t>原因造成投标文件未</w:t>
      </w:r>
      <w:r>
        <w:rPr>
          <w:spacing w:val="-3"/>
          <w:sz w:val="21"/>
        </w:rPr>
        <w:t>解密的，视为投标人撤回投标文件。已解密的投标文件少于三个的，招标失败；已解密的投</w:t>
      </w:r>
      <w:r>
        <w:rPr>
          <w:spacing w:val="-2"/>
          <w:sz w:val="21"/>
        </w:rPr>
        <w:t>标文件不少于三个，开标继续进行。</w:t>
      </w:r>
    </w:p>
    <w:p w14:paraId="7702B9B8">
      <w:pPr>
        <w:pStyle w:val="82"/>
        <w:numPr>
          <w:ilvl w:val="1"/>
          <w:numId w:val="3"/>
        </w:numPr>
        <w:tabs>
          <w:tab w:val="left" w:pos="1535"/>
        </w:tabs>
        <w:spacing w:before="162" w:after="0" w:line="240" w:lineRule="auto"/>
        <w:ind w:left="1535" w:right="0" w:hanging="448"/>
        <w:jc w:val="left"/>
        <w:rPr>
          <w:rFonts w:ascii="Arial" w:eastAsia="Arial"/>
          <w:sz w:val="24"/>
        </w:rPr>
      </w:pPr>
      <w:bookmarkStart w:id="208" w:name="5.3 开标异议"/>
      <w:bookmarkEnd w:id="208"/>
      <w:r>
        <w:rPr>
          <w:spacing w:val="-3"/>
          <w:sz w:val="24"/>
        </w:rPr>
        <w:t>开标异议</w:t>
      </w:r>
    </w:p>
    <w:p w14:paraId="706C919A">
      <w:pPr>
        <w:pStyle w:val="82"/>
        <w:numPr>
          <w:ilvl w:val="2"/>
          <w:numId w:val="3"/>
        </w:numPr>
        <w:tabs>
          <w:tab w:val="left" w:pos="1759"/>
        </w:tabs>
        <w:spacing w:before="36" w:after="0" w:line="237" w:lineRule="auto"/>
        <w:ind w:left="802" w:right="856" w:firstLine="420"/>
        <w:jc w:val="left"/>
        <w:rPr>
          <w:sz w:val="21"/>
        </w:rPr>
      </w:pPr>
      <w:r>
        <w:rPr>
          <w:spacing w:val="-2"/>
          <w:sz w:val="21"/>
        </w:rPr>
        <w:t>投标人对开标有异议的，应当在开标过程中提出；招标人当场对异议作出答复，并记入开标记录。异议与答复应通过</w:t>
      </w:r>
      <w:r>
        <w:rPr>
          <w:rFonts w:ascii="Calibri" w:hAnsi="Calibri" w:eastAsia="Calibri"/>
          <w:spacing w:val="-2"/>
          <w:sz w:val="21"/>
        </w:rPr>
        <w:t>“</w:t>
      </w:r>
      <w:r>
        <w:rPr>
          <w:spacing w:val="-2"/>
          <w:sz w:val="21"/>
        </w:rPr>
        <w:t>开标大厅</w:t>
      </w:r>
      <w:r>
        <w:rPr>
          <w:rFonts w:ascii="Calibri" w:hAnsi="Calibri" w:eastAsia="Calibri"/>
          <w:spacing w:val="-2"/>
          <w:sz w:val="21"/>
        </w:rPr>
        <w:t>”</w:t>
      </w:r>
      <w:r>
        <w:rPr>
          <w:spacing w:val="-2"/>
          <w:sz w:val="21"/>
        </w:rPr>
        <w:t>在</w:t>
      </w:r>
      <w:r>
        <w:rPr>
          <w:rFonts w:ascii="Calibri" w:hAnsi="Calibri" w:eastAsia="Calibri"/>
          <w:spacing w:val="-2"/>
          <w:sz w:val="21"/>
        </w:rPr>
        <w:t>“</w:t>
      </w:r>
      <w:r>
        <w:rPr>
          <w:spacing w:val="-2"/>
          <w:sz w:val="21"/>
        </w:rPr>
        <w:t>异议与答复</w:t>
      </w:r>
      <w:r>
        <w:rPr>
          <w:rFonts w:ascii="Calibri" w:hAnsi="Calibri" w:eastAsia="Calibri"/>
          <w:spacing w:val="-2"/>
          <w:sz w:val="21"/>
        </w:rPr>
        <w:t>”</w:t>
      </w:r>
      <w:r>
        <w:rPr>
          <w:spacing w:val="-2"/>
          <w:sz w:val="21"/>
        </w:rPr>
        <w:t>菜单以书面形式进行。</w:t>
      </w:r>
    </w:p>
    <w:p w14:paraId="3905003A">
      <w:pPr>
        <w:pStyle w:val="82"/>
        <w:numPr>
          <w:ilvl w:val="2"/>
          <w:numId w:val="3"/>
        </w:numPr>
        <w:tabs>
          <w:tab w:val="left" w:pos="1759"/>
        </w:tabs>
        <w:spacing w:before="118" w:after="0" w:line="357" w:lineRule="auto"/>
        <w:ind w:left="802" w:right="772" w:firstLine="420"/>
        <w:jc w:val="left"/>
        <w:rPr>
          <w:sz w:val="21"/>
        </w:rPr>
      </w:pPr>
      <w:r>
        <w:rPr>
          <w:spacing w:val="-12"/>
          <w:sz w:val="21"/>
        </w:rPr>
        <w:t>投标人异议成立的，招标人将及时采取纠正措施，或者提交评标委员会评审确认；</w:t>
      </w:r>
      <w:r>
        <w:rPr>
          <w:spacing w:val="-2"/>
          <w:sz w:val="21"/>
        </w:rPr>
        <w:t>投标人异议不成立的，招标人将当场给予解释说明。</w:t>
      </w:r>
    </w:p>
    <w:p w14:paraId="03F677A6">
      <w:pPr>
        <w:pStyle w:val="82"/>
        <w:numPr>
          <w:ilvl w:val="1"/>
          <w:numId w:val="3"/>
        </w:numPr>
        <w:tabs>
          <w:tab w:val="left" w:pos="1763"/>
        </w:tabs>
        <w:spacing w:before="27" w:after="0" w:line="240" w:lineRule="auto"/>
        <w:ind w:left="1763" w:right="0" w:hanging="676"/>
        <w:jc w:val="left"/>
        <w:rPr>
          <w:rFonts w:ascii="Arial" w:eastAsia="Arial"/>
          <w:sz w:val="24"/>
        </w:rPr>
      </w:pPr>
      <w:bookmarkStart w:id="209" w:name="5.4  特殊情况的处置"/>
      <w:bookmarkEnd w:id="209"/>
      <w:r>
        <w:rPr>
          <w:spacing w:val="-2"/>
          <w:sz w:val="24"/>
        </w:rPr>
        <w:t>特殊情况的处置</w:t>
      </w:r>
    </w:p>
    <w:p w14:paraId="41B4FCF1">
      <w:pPr>
        <w:pStyle w:val="82"/>
        <w:numPr>
          <w:ilvl w:val="2"/>
          <w:numId w:val="3"/>
        </w:numPr>
        <w:tabs>
          <w:tab w:val="left" w:pos="1759"/>
        </w:tabs>
        <w:spacing w:before="36" w:after="0" w:line="237" w:lineRule="auto"/>
        <w:ind w:left="802" w:right="856" w:firstLine="420"/>
        <w:jc w:val="both"/>
        <w:rPr>
          <w:sz w:val="21"/>
        </w:rPr>
      </w:pPr>
      <w:r>
        <w:rPr>
          <w:sz w:val="21"/>
        </w:rPr>
        <w:t>因</w:t>
      </w:r>
      <w:r>
        <w:rPr>
          <w:rFonts w:ascii="Calibri" w:hAnsi="Calibri" w:eastAsia="Calibri"/>
          <w:sz w:val="21"/>
        </w:rPr>
        <w:t>“</w:t>
      </w:r>
      <w:r>
        <w:rPr>
          <w:sz w:val="21"/>
        </w:rPr>
        <w:t>电子交易平台</w:t>
      </w:r>
      <w:r>
        <w:rPr>
          <w:rFonts w:ascii="Calibri" w:hAnsi="Calibri" w:eastAsia="Calibri"/>
          <w:sz w:val="21"/>
        </w:rPr>
        <w:t>”</w:t>
      </w:r>
      <w:r>
        <w:rPr>
          <w:sz w:val="21"/>
        </w:rPr>
        <w:t>系统故障导致无法投标的，交易中心及时通知招标人，招标人</w:t>
      </w:r>
      <w:r>
        <w:rPr>
          <w:spacing w:val="-2"/>
          <w:sz w:val="21"/>
        </w:rPr>
        <w:t>视情况决定是否顺延投标截止时间。因投标人自身原因导致无法完成投标的，由投标人自行承担后果。</w:t>
      </w:r>
    </w:p>
    <w:p w14:paraId="36452D83">
      <w:pPr>
        <w:pStyle w:val="82"/>
        <w:numPr>
          <w:ilvl w:val="2"/>
          <w:numId w:val="3"/>
        </w:numPr>
        <w:tabs>
          <w:tab w:val="left" w:pos="1759"/>
        </w:tabs>
        <w:spacing w:before="0" w:after="0" w:line="237" w:lineRule="auto"/>
        <w:ind w:left="802" w:right="874" w:firstLine="420"/>
        <w:jc w:val="both"/>
        <w:rPr>
          <w:sz w:val="21"/>
        </w:rPr>
      </w:pPr>
      <w:r>
        <w:rPr>
          <w:sz w:val="21"/>
        </w:rPr>
        <w:t>因</w:t>
      </w:r>
      <w:r>
        <w:rPr>
          <w:rFonts w:ascii="Calibri" w:hAnsi="Calibri" w:eastAsia="Calibri"/>
          <w:sz w:val="21"/>
        </w:rPr>
        <w:t>“</w:t>
      </w:r>
      <w:r>
        <w:rPr>
          <w:sz w:val="21"/>
        </w:rPr>
        <w:t>电子交易平台</w:t>
      </w:r>
      <w:r>
        <w:rPr>
          <w:rFonts w:ascii="Calibri" w:hAnsi="Calibri" w:eastAsia="Calibri"/>
          <w:sz w:val="21"/>
        </w:rPr>
        <w:t>”</w:t>
      </w:r>
      <w:r>
        <w:rPr>
          <w:sz w:val="21"/>
        </w:rPr>
        <w:t>系统故障导致无法正常开标的，招标人将暂停开标，待系统恢</w:t>
      </w:r>
      <w:r>
        <w:rPr>
          <w:spacing w:val="-2"/>
          <w:sz w:val="21"/>
        </w:rPr>
        <w:t>复正常后继续开标。</w:t>
      </w:r>
    </w:p>
    <w:p w14:paraId="67D0AADA">
      <w:pPr>
        <w:pStyle w:val="82"/>
        <w:numPr>
          <w:ilvl w:val="2"/>
          <w:numId w:val="3"/>
        </w:numPr>
        <w:tabs>
          <w:tab w:val="left" w:pos="1699"/>
        </w:tabs>
        <w:spacing w:before="0" w:after="0" w:line="269" w:lineRule="exact"/>
        <w:ind w:left="1699" w:right="0" w:hanging="476"/>
        <w:jc w:val="both"/>
        <w:rPr>
          <w:sz w:val="21"/>
        </w:rPr>
      </w:pPr>
      <w:r>
        <w:rPr>
          <w:rFonts w:ascii="Calibri" w:hAnsi="Calibri" w:eastAsia="Calibri"/>
          <w:sz w:val="21"/>
        </w:rPr>
        <w:t>“</w:t>
      </w:r>
      <w:r>
        <w:rPr>
          <w:sz w:val="21"/>
        </w:rPr>
        <w:t>电子交易平台</w:t>
      </w:r>
      <w:r>
        <w:rPr>
          <w:rFonts w:ascii="Calibri" w:hAnsi="Calibri" w:eastAsia="Calibri"/>
          <w:sz w:val="21"/>
        </w:rPr>
        <w:t>”</w:t>
      </w:r>
      <w:r>
        <w:rPr>
          <w:spacing w:val="-1"/>
          <w:sz w:val="21"/>
        </w:rPr>
        <w:t>系统故障是指下列情形：</w:t>
      </w:r>
    </w:p>
    <w:p w14:paraId="3E8E1DC9">
      <w:pPr>
        <w:spacing w:before="0" w:line="244" w:lineRule="auto"/>
        <w:ind w:left="1223" w:right="3715" w:firstLine="0"/>
        <w:jc w:val="left"/>
        <w:rPr>
          <w:sz w:val="21"/>
        </w:rPr>
      </w:pPr>
      <w:r>
        <w:rPr>
          <w:rFonts w:ascii="Calibri" w:eastAsia="Calibri"/>
          <w:spacing w:val="-2"/>
          <w:sz w:val="21"/>
        </w:rPr>
        <w:t>(1)</w:t>
      </w:r>
      <w:r>
        <w:rPr>
          <w:spacing w:val="-2"/>
          <w:sz w:val="21"/>
        </w:rPr>
        <w:t xml:space="preserve">系统服务器发生故障，无法访问或无法使用系统； </w:t>
      </w:r>
      <w:r>
        <w:rPr>
          <w:rFonts w:ascii="Calibri" w:eastAsia="Calibri"/>
          <w:spacing w:val="-2"/>
          <w:sz w:val="21"/>
        </w:rPr>
        <w:t>(2)</w:t>
      </w:r>
      <w:r>
        <w:rPr>
          <w:spacing w:val="-2"/>
          <w:sz w:val="21"/>
        </w:rPr>
        <w:t xml:space="preserve">系统的软件或数据库出现错误，不能进行正常操作； </w:t>
      </w:r>
      <w:r>
        <w:rPr>
          <w:rFonts w:ascii="Calibri" w:eastAsia="Calibri"/>
          <w:spacing w:val="-2"/>
          <w:sz w:val="21"/>
        </w:rPr>
        <w:t>(3)</w:t>
      </w:r>
      <w:r>
        <w:rPr>
          <w:spacing w:val="-2"/>
          <w:sz w:val="21"/>
        </w:rPr>
        <w:t>系统发现有安全漏洞，有潜在的泄密危险；</w:t>
      </w:r>
    </w:p>
    <w:p w14:paraId="3B070DD9">
      <w:pPr>
        <w:pStyle w:val="82"/>
        <w:numPr>
          <w:ilvl w:val="0"/>
          <w:numId w:val="14"/>
        </w:numPr>
        <w:tabs>
          <w:tab w:val="left" w:pos="1446"/>
        </w:tabs>
        <w:spacing w:before="0" w:after="0" w:line="263" w:lineRule="exact"/>
        <w:ind w:left="1446" w:right="0" w:hanging="223"/>
        <w:jc w:val="left"/>
        <w:rPr>
          <w:sz w:val="21"/>
        </w:rPr>
      </w:pPr>
      <w:r>
        <w:rPr>
          <w:spacing w:val="-1"/>
          <w:sz w:val="21"/>
        </w:rPr>
        <w:t>出现断电、断网事故；</w:t>
      </w:r>
    </w:p>
    <w:p w14:paraId="2D744A24">
      <w:pPr>
        <w:pStyle w:val="82"/>
        <w:numPr>
          <w:ilvl w:val="0"/>
          <w:numId w:val="14"/>
        </w:numPr>
        <w:tabs>
          <w:tab w:val="left" w:pos="1446"/>
        </w:tabs>
        <w:spacing w:before="116" w:after="0" w:line="240" w:lineRule="auto"/>
        <w:ind w:left="1446" w:right="0" w:hanging="223"/>
        <w:jc w:val="left"/>
        <w:rPr>
          <w:sz w:val="21"/>
        </w:rPr>
      </w:pPr>
      <w:r>
        <w:rPr>
          <w:spacing w:val="-1"/>
          <w:sz w:val="21"/>
        </w:rPr>
        <w:t>其他无法保证招投标过程正常进行的情形。</w:t>
      </w:r>
    </w:p>
    <w:p w14:paraId="253B69C6">
      <w:pPr>
        <w:spacing w:after="0" w:line="240" w:lineRule="auto"/>
        <w:jc w:val="left"/>
        <w:rPr>
          <w:sz w:val="21"/>
        </w:rPr>
        <w:sectPr>
          <w:pgSz w:w="11910" w:h="16850"/>
          <w:pgMar w:top="1380" w:right="920" w:bottom="1060" w:left="1000" w:header="0" w:footer="866" w:gutter="0"/>
          <w:cols w:space="720" w:num="1"/>
        </w:sectPr>
      </w:pPr>
    </w:p>
    <w:p w14:paraId="368FFDE6">
      <w:pPr>
        <w:pStyle w:val="82"/>
        <w:numPr>
          <w:ilvl w:val="0"/>
          <w:numId w:val="3"/>
        </w:numPr>
        <w:tabs>
          <w:tab w:val="left" w:pos="1521"/>
        </w:tabs>
        <w:spacing w:before="47" w:after="0" w:line="240" w:lineRule="auto"/>
        <w:ind w:left="1521" w:right="0" w:hanging="298"/>
        <w:jc w:val="both"/>
        <w:rPr>
          <w:sz w:val="24"/>
        </w:rPr>
      </w:pPr>
      <w:bookmarkStart w:id="210" w:name="6. 评标"/>
      <w:bookmarkEnd w:id="210"/>
      <w:bookmarkStart w:id="211" w:name="_bookmark10"/>
      <w:bookmarkEnd w:id="211"/>
      <w:r>
        <w:rPr>
          <w:spacing w:val="-5"/>
          <w:sz w:val="24"/>
        </w:rPr>
        <w:t>评标</w:t>
      </w:r>
    </w:p>
    <w:p w14:paraId="31133B3C">
      <w:pPr>
        <w:pStyle w:val="82"/>
        <w:numPr>
          <w:ilvl w:val="1"/>
          <w:numId w:val="3"/>
        </w:numPr>
        <w:tabs>
          <w:tab w:val="left" w:pos="1763"/>
        </w:tabs>
        <w:spacing w:before="303" w:after="0" w:line="240" w:lineRule="auto"/>
        <w:ind w:left="1763" w:right="0" w:hanging="676"/>
        <w:jc w:val="left"/>
        <w:rPr>
          <w:rFonts w:ascii="Arial" w:eastAsia="Arial"/>
          <w:sz w:val="24"/>
        </w:rPr>
      </w:pPr>
      <w:bookmarkStart w:id="212" w:name="6.1  评标委员会"/>
      <w:bookmarkEnd w:id="212"/>
      <w:r>
        <w:rPr>
          <w:spacing w:val="-2"/>
          <w:sz w:val="24"/>
        </w:rPr>
        <w:t>评标委员会</w:t>
      </w:r>
    </w:p>
    <w:p w14:paraId="7C607683">
      <w:pPr>
        <w:pStyle w:val="82"/>
        <w:numPr>
          <w:ilvl w:val="2"/>
          <w:numId w:val="3"/>
        </w:numPr>
        <w:tabs>
          <w:tab w:val="left" w:pos="1773"/>
        </w:tabs>
        <w:spacing w:before="139" w:after="0" w:line="355" w:lineRule="auto"/>
        <w:ind w:left="802" w:right="841" w:firstLine="480"/>
        <w:jc w:val="both"/>
        <w:rPr>
          <w:sz w:val="21"/>
        </w:rPr>
      </w:pPr>
      <w:r>
        <w:rPr>
          <w:spacing w:val="-2"/>
          <w:sz w:val="21"/>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4B2973C">
      <w:pPr>
        <w:pStyle w:val="82"/>
        <w:numPr>
          <w:ilvl w:val="2"/>
          <w:numId w:val="3"/>
        </w:numPr>
        <w:tabs>
          <w:tab w:val="left" w:pos="1805"/>
        </w:tabs>
        <w:spacing w:before="0" w:after="0" w:line="262" w:lineRule="exact"/>
        <w:ind w:left="1805" w:right="0" w:hanging="522"/>
        <w:jc w:val="both"/>
        <w:rPr>
          <w:sz w:val="21"/>
        </w:rPr>
      </w:pPr>
      <w:r>
        <w:rPr>
          <w:spacing w:val="-1"/>
          <w:sz w:val="21"/>
        </w:rPr>
        <w:t>评标委员会成员有下列情形之一的，应主动提出回避：</w:t>
      </w:r>
    </w:p>
    <w:p w14:paraId="796241CA">
      <w:pPr>
        <w:pStyle w:val="82"/>
        <w:numPr>
          <w:ilvl w:val="0"/>
          <w:numId w:val="15"/>
        </w:numPr>
        <w:tabs>
          <w:tab w:val="left" w:pos="1808"/>
        </w:tabs>
        <w:spacing w:before="133" w:after="0" w:line="240" w:lineRule="auto"/>
        <w:ind w:left="1808" w:right="0" w:hanging="525"/>
        <w:jc w:val="left"/>
        <w:rPr>
          <w:sz w:val="21"/>
        </w:rPr>
      </w:pPr>
      <w:r>
        <w:rPr>
          <w:spacing w:val="-1"/>
          <w:sz w:val="21"/>
        </w:rPr>
        <w:t>投标人或投标人主要负责人的近亲属；</w:t>
      </w:r>
    </w:p>
    <w:p w14:paraId="25F0E00A">
      <w:pPr>
        <w:pStyle w:val="82"/>
        <w:numPr>
          <w:ilvl w:val="0"/>
          <w:numId w:val="15"/>
        </w:numPr>
        <w:tabs>
          <w:tab w:val="left" w:pos="1808"/>
        </w:tabs>
        <w:spacing w:before="132" w:after="0" w:line="240" w:lineRule="auto"/>
        <w:ind w:left="1808" w:right="0" w:hanging="525"/>
        <w:jc w:val="left"/>
        <w:rPr>
          <w:sz w:val="21"/>
        </w:rPr>
      </w:pPr>
      <w:r>
        <w:rPr>
          <w:spacing w:val="-3"/>
          <w:sz w:val="21"/>
        </w:rPr>
        <w:t>项目主管部门或者行政监督部门的人员；</w:t>
      </w:r>
    </w:p>
    <w:p w14:paraId="0326EDBB">
      <w:pPr>
        <w:pStyle w:val="82"/>
        <w:numPr>
          <w:ilvl w:val="0"/>
          <w:numId w:val="15"/>
        </w:numPr>
        <w:tabs>
          <w:tab w:val="left" w:pos="1808"/>
        </w:tabs>
        <w:spacing w:before="117" w:after="0" w:line="240" w:lineRule="auto"/>
        <w:ind w:left="1808" w:right="0" w:hanging="525"/>
        <w:jc w:val="left"/>
        <w:rPr>
          <w:sz w:val="21"/>
        </w:rPr>
      </w:pPr>
      <w:r>
        <w:rPr>
          <w:spacing w:val="-1"/>
          <w:sz w:val="21"/>
        </w:rPr>
        <w:t>与投标人有经济利益关系，可能影响对投标公正评审的；</w:t>
      </w:r>
    </w:p>
    <w:p w14:paraId="26BACB5A">
      <w:pPr>
        <w:pStyle w:val="82"/>
        <w:numPr>
          <w:ilvl w:val="0"/>
          <w:numId w:val="15"/>
        </w:numPr>
        <w:tabs>
          <w:tab w:val="left" w:pos="1776"/>
        </w:tabs>
        <w:spacing w:before="133" w:after="0" w:line="355" w:lineRule="auto"/>
        <w:ind w:left="802" w:right="875" w:firstLine="480"/>
        <w:jc w:val="left"/>
        <w:rPr>
          <w:sz w:val="21"/>
        </w:rPr>
      </w:pPr>
      <w:r>
        <w:rPr>
          <w:spacing w:val="-2"/>
          <w:sz w:val="21"/>
        </w:rPr>
        <w:t>曾因在招标、评标以及其他与招标投标有关活动中从事违法行为而受过行政处罚或刑事处罚的；</w:t>
      </w:r>
    </w:p>
    <w:p w14:paraId="28B93E25">
      <w:pPr>
        <w:pStyle w:val="82"/>
        <w:numPr>
          <w:ilvl w:val="0"/>
          <w:numId w:val="15"/>
        </w:numPr>
        <w:tabs>
          <w:tab w:val="left" w:pos="1808"/>
        </w:tabs>
        <w:spacing w:before="0" w:after="0" w:line="261" w:lineRule="exact"/>
        <w:ind w:left="1808" w:right="0" w:hanging="525"/>
        <w:jc w:val="left"/>
        <w:rPr>
          <w:sz w:val="21"/>
        </w:rPr>
      </w:pPr>
      <w:r>
        <w:rPr>
          <w:spacing w:val="-1"/>
          <w:sz w:val="21"/>
        </w:rPr>
        <w:t>与投标人有其他利害关系。</w:t>
      </w:r>
    </w:p>
    <w:p w14:paraId="411EBA7F">
      <w:pPr>
        <w:pStyle w:val="82"/>
        <w:numPr>
          <w:ilvl w:val="2"/>
          <w:numId w:val="3"/>
        </w:numPr>
        <w:tabs>
          <w:tab w:val="left" w:pos="1819"/>
        </w:tabs>
        <w:spacing w:before="132" w:after="0" w:line="350" w:lineRule="auto"/>
        <w:ind w:left="802" w:right="860" w:firstLine="480"/>
        <w:jc w:val="both"/>
        <w:rPr>
          <w:sz w:val="21"/>
        </w:rPr>
      </w:pPr>
      <w:r>
        <w:rPr>
          <w:spacing w:val="-2"/>
          <w:sz w:val="21"/>
        </w:rPr>
        <w:t>评标过程中，评标委员会成员有回避事由、擅离职守或因健康等原因不能继续评</w:t>
      </w:r>
      <w:r>
        <w:rPr>
          <w:spacing w:val="-4"/>
          <w:sz w:val="21"/>
        </w:rPr>
        <w:t>标的，招标人有权更换。被更换的评标委员会成员作出的评审结论无效，由更换后的评标委</w:t>
      </w:r>
      <w:r>
        <w:rPr>
          <w:spacing w:val="-2"/>
          <w:sz w:val="21"/>
        </w:rPr>
        <w:t>员会成员重新进行评审。</w:t>
      </w:r>
    </w:p>
    <w:p w14:paraId="63E2E581">
      <w:pPr>
        <w:pStyle w:val="82"/>
        <w:numPr>
          <w:ilvl w:val="1"/>
          <w:numId w:val="3"/>
        </w:numPr>
        <w:tabs>
          <w:tab w:val="left" w:pos="1535"/>
        </w:tabs>
        <w:spacing w:before="50" w:after="0" w:line="240" w:lineRule="auto"/>
        <w:ind w:left="1535" w:right="0" w:hanging="448"/>
        <w:jc w:val="left"/>
        <w:rPr>
          <w:rFonts w:ascii="Arial" w:eastAsia="Arial"/>
          <w:sz w:val="24"/>
        </w:rPr>
      </w:pPr>
      <w:bookmarkStart w:id="213" w:name="6.2 评标原则"/>
      <w:bookmarkEnd w:id="213"/>
      <w:r>
        <w:rPr>
          <w:spacing w:val="-3"/>
          <w:sz w:val="24"/>
        </w:rPr>
        <w:t>评标原则</w:t>
      </w:r>
    </w:p>
    <w:p w14:paraId="3CA14AAC">
      <w:pPr>
        <w:spacing w:before="139"/>
        <w:ind w:left="1283" w:right="0" w:firstLine="0"/>
        <w:jc w:val="left"/>
        <w:rPr>
          <w:sz w:val="21"/>
        </w:rPr>
      </w:pPr>
      <w:r>
        <w:rPr>
          <w:spacing w:val="-1"/>
          <w:sz w:val="21"/>
        </w:rPr>
        <w:t>评标活动遵循公平、公正、科学和择优的原则。</w:t>
      </w:r>
    </w:p>
    <w:p w14:paraId="53BF609B">
      <w:pPr>
        <w:pStyle w:val="82"/>
        <w:numPr>
          <w:ilvl w:val="1"/>
          <w:numId w:val="3"/>
        </w:numPr>
        <w:tabs>
          <w:tab w:val="left" w:pos="1535"/>
        </w:tabs>
        <w:spacing w:before="177" w:after="0" w:line="240" w:lineRule="auto"/>
        <w:ind w:left="1535" w:right="0" w:hanging="448"/>
        <w:jc w:val="left"/>
        <w:rPr>
          <w:rFonts w:ascii="Arial" w:eastAsia="Arial"/>
          <w:sz w:val="24"/>
        </w:rPr>
      </w:pPr>
      <w:bookmarkStart w:id="214" w:name="6.3 评标"/>
      <w:bookmarkEnd w:id="214"/>
      <w:r>
        <w:rPr>
          <w:spacing w:val="-5"/>
          <w:sz w:val="24"/>
        </w:rPr>
        <w:t>评标</w:t>
      </w:r>
    </w:p>
    <w:p w14:paraId="38939C4F">
      <w:pPr>
        <w:pStyle w:val="82"/>
        <w:numPr>
          <w:ilvl w:val="2"/>
          <w:numId w:val="3"/>
        </w:numPr>
        <w:tabs>
          <w:tab w:val="left" w:pos="1759"/>
        </w:tabs>
        <w:spacing w:before="138" w:after="0" w:line="355" w:lineRule="auto"/>
        <w:ind w:left="802" w:right="875" w:firstLine="420"/>
        <w:jc w:val="both"/>
        <w:rPr>
          <w:sz w:val="21"/>
        </w:rPr>
      </w:pPr>
      <w:r>
        <w:rPr>
          <w:sz w:val="21"/>
        </w:rPr>
        <w:t>评标委员会按照第三章</w:t>
      </w:r>
      <w:r>
        <w:rPr>
          <w:rFonts w:ascii="Calibri" w:hAnsi="Calibri" w:eastAsia="Calibri"/>
          <w:sz w:val="21"/>
        </w:rPr>
        <w:t>“</w:t>
      </w:r>
      <w:r>
        <w:rPr>
          <w:sz w:val="21"/>
        </w:rPr>
        <w:t>评标办法</w:t>
      </w:r>
      <w:r>
        <w:rPr>
          <w:rFonts w:ascii="Calibri" w:hAnsi="Calibri" w:eastAsia="Calibri"/>
          <w:sz w:val="21"/>
        </w:rPr>
        <w:t>”</w:t>
      </w:r>
      <w:r>
        <w:rPr>
          <w:sz w:val="21"/>
        </w:rPr>
        <w:t>规定的方法、评审因素、标准和程序对投标文</w:t>
      </w:r>
      <w:r>
        <w:rPr>
          <w:spacing w:val="-2"/>
          <w:sz w:val="21"/>
        </w:rPr>
        <w:t>件进行评审。第三章</w:t>
      </w:r>
      <w:r>
        <w:rPr>
          <w:rFonts w:ascii="Calibri" w:hAnsi="Calibri" w:eastAsia="Calibri"/>
          <w:spacing w:val="-2"/>
          <w:sz w:val="21"/>
        </w:rPr>
        <w:t>“</w:t>
      </w:r>
      <w:r>
        <w:rPr>
          <w:spacing w:val="-2"/>
          <w:sz w:val="21"/>
        </w:rPr>
        <w:t>评标办法</w:t>
      </w:r>
      <w:r>
        <w:rPr>
          <w:rFonts w:ascii="Calibri" w:hAnsi="Calibri" w:eastAsia="Calibri"/>
          <w:spacing w:val="-2"/>
          <w:sz w:val="21"/>
        </w:rPr>
        <w:t>”</w:t>
      </w:r>
      <w:r>
        <w:rPr>
          <w:spacing w:val="-2"/>
          <w:sz w:val="21"/>
        </w:rPr>
        <w:t>没有规定的方法、评审因素和标准，不作为评标依据。</w:t>
      </w:r>
    </w:p>
    <w:p w14:paraId="39629138">
      <w:pPr>
        <w:pStyle w:val="82"/>
        <w:numPr>
          <w:ilvl w:val="2"/>
          <w:numId w:val="3"/>
        </w:numPr>
        <w:tabs>
          <w:tab w:val="left" w:pos="1759"/>
        </w:tabs>
        <w:spacing w:before="3" w:after="0" w:line="343" w:lineRule="auto"/>
        <w:ind w:left="802" w:right="856" w:firstLine="420"/>
        <w:jc w:val="both"/>
        <w:rPr>
          <w:sz w:val="21"/>
        </w:rPr>
      </w:pPr>
      <w:r>
        <w:rPr>
          <w:spacing w:val="-2"/>
          <w:sz w:val="21"/>
        </w:rPr>
        <w:t>评标完成后，评标委员会应向招标人提交书面评标报告和中标候选人名单。评标委员会推荐中标候选人的人数见投标人须知前附表。</w:t>
      </w:r>
    </w:p>
    <w:p w14:paraId="2117F802">
      <w:pPr>
        <w:pStyle w:val="82"/>
        <w:numPr>
          <w:ilvl w:val="0"/>
          <w:numId w:val="3"/>
        </w:numPr>
        <w:tabs>
          <w:tab w:val="left" w:pos="1521"/>
        </w:tabs>
        <w:spacing w:before="0" w:after="0" w:line="221" w:lineRule="exact"/>
        <w:ind w:left="1521" w:right="0" w:hanging="298"/>
        <w:jc w:val="both"/>
        <w:rPr>
          <w:sz w:val="24"/>
        </w:rPr>
      </w:pPr>
      <w:bookmarkStart w:id="215" w:name="_bookmark11"/>
      <w:bookmarkEnd w:id="215"/>
      <w:bookmarkStart w:id="216" w:name="7. 合同授予"/>
      <w:bookmarkEnd w:id="216"/>
      <w:r>
        <w:rPr>
          <w:spacing w:val="-3"/>
          <w:sz w:val="24"/>
        </w:rPr>
        <w:t>合同授予</w:t>
      </w:r>
    </w:p>
    <w:p w14:paraId="27A5C890">
      <w:pPr>
        <w:pStyle w:val="82"/>
        <w:numPr>
          <w:ilvl w:val="1"/>
          <w:numId w:val="3"/>
        </w:numPr>
        <w:tabs>
          <w:tab w:val="left" w:pos="1535"/>
        </w:tabs>
        <w:spacing w:before="304" w:after="0" w:line="240" w:lineRule="auto"/>
        <w:ind w:left="1535" w:right="0" w:hanging="448"/>
        <w:jc w:val="left"/>
        <w:rPr>
          <w:rFonts w:ascii="Arial" w:eastAsia="Arial"/>
          <w:sz w:val="24"/>
        </w:rPr>
      </w:pPr>
      <w:bookmarkStart w:id="217" w:name="7.1 评标结果公示"/>
      <w:bookmarkEnd w:id="217"/>
      <w:r>
        <w:rPr>
          <w:spacing w:val="-2"/>
          <w:sz w:val="24"/>
        </w:rPr>
        <w:t>评标结果公示</w:t>
      </w:r>
    </w:p>
    <w:p w14:paraId="0F544B14">
      <w:pPr>
        <w:spacing w:before="154"/>
        <w:ind w:left="1223" w:right="0" w:firstLine="0"/>
        <w:jc w:val="left"/>
        <w:rPr>
          <w:sz w:val="21"/>
        </w:rPr>
      </w:pPr>
      <w:r>
        <w:rPr>
          <w:spacing w:val="-4"/>
          <w:sz w:val="21"/>
        </w:rPr>
        <w:t xml:space="preserve">招标人在收到评标报告之日起 </w:t>
      </w:r>
      <w:r>
        <w:rPr>
          <w:rFonts w:ascii="Calibri" w:eastAsia="Calibri"/>
          <w:sz w:val="21"/>
        </w:rPr>
        <w:t>3</w:t>
      </w:r>
      <w:r>
        <w:rPr>
          <w:rFonts w:ascii="Calibri" w:eastAsia="Calibri"/>
          <w:spacing w:val="11"/>
          <w:sz w:val="21"/>
        </w:rPr>
        <w:t xml:space="preserve"> </w:t>
      </w:r>
      <w:r>
        <w:rPr>
          <w:spacing w:val="-11"/>
          <w:sz w:val="21"/>
        </w:rPr>
        <w:t>日内，按照投标人须知前附表规定的公示媒介公示中标</w:t>
      </w:r>
    </w:p>
    <w:p w14:paraId="127A798C">
      <w:pPr>
        <w:spacing w:before="117"/>
        <w:ind w:left="802" w:right="0" w:firstLine="0"/>
        <w:jc w:val="left"/>
        <w:rPr>
          <w:sz w:val="21"/>
        </w:rPr>
      </w:pPr>
      <w:r>
        <w:rPr>
          <w:spacing w:val="-4"/>
          <w:sz w:val="21"/>
        </w:rPr>
        <w:t xml:space="preserve">候选人，公示期不得少于 </w:t>
      </w:r>
      <w:r>
        <w:rPr>
          <w:rFonts w:ascii="Calibri" w:eastAsia="Calibri"/>
          <w:sz w:val="21"/>
        </w:rPr>
        <w:t>3</w:t>
      </w:r>
      <w:r>
        <w:rPr>
          <w:rFonts w:ascii="Calibri" w:eastAsia="Calibri"/>
          <w:spacing w:val="11"/>
          <w:sz w:val="21"/>
        </w:rPr>
        <w:t xml:space="preserve"> </w:t>
      </w:r>
      <w:r>
        <w:rPr>
          <w:spacing w:val="-5"/>
          <w:sz w:val="21"/>
        </w:rPr>
        <w:t>日。</w:t>
      </w:r>
    </w:p>
    <w:p w14:paraId="75B67CBF">
      <w:pPr>
        <w:pStyle w:val="82"/>
        <w:numPr>
          <w:ilvl w:val="1"/>
          <w:numId w:val="3"/>
        </w:numPr>
        <w:tabs>
          <w:tab w:val="left" w:pos="1535"/>
        </w:tabs>
        <w:spacing w:before="177" w:after="0" w:line="240" w:lineRule="auto"/>
        <w:ind w:left="1535" w:right="0" w:hanging="448"/>
        <w:jc w:val="both"/>
        <w:rPr>
          <w:rFonts w:ascii="Arial" w:eastAsia="Arial"/>
          <w:sz w:val="24"/>
        </w:rPr>
      </w:pPr>
      <w:bookmarkStart w:id="218" w:name="7.2 评标结果异议"/>
      <w:bookmarkEnd w:id="218"/>
      <w:r>
        <w:rPr>
          <w:spacing w:val="-2"/>
          <w:sz w:val="24"/>
        </w:rPr>
        <w:t>评标结果异议</w:t>
      </w:r>
    </w:p>
    <w:p w14:paraId="14943D95">
      <w:pPr>
        <w:spacing w:before="139" w:line="355" w:lineRule="auto"/>
        <w:ind w:left="802" w:right="857" w:firstLine="420"/>
        <w:jc w:val="both"/>
        <w:rPr>
          <w:sz w:val="21"/>
        </w:rPr>
      </w:pPr>
      <w:r>
        <w:rPr>
          <w:spacing w:val="-4"/>
          <w:sz w:val="21"/>
        </w:rPr>
        <w:t>投标人或者其他利害关系人对评标结果有异议的，应当在评标结果公示期间提出。招标</w:t>
      </w:r>
      <w:r>
        <w:rPr>
          <w:spacing w:val="-6"/>
          <w:sz w:val="21"/>
        </w:rPr>
        <w:t xml:space="preserve">人自收到异议之日起 </w:t>
      </w:r>
      <w:r>
        <w:rPr>
          <w:rFonts w:ascii="Calibri" w:hAnsi="Calibri" w:eastAsia="Calibri"/>
          <w:spacing w:val="-4"/>
          <w:sz w:val="21"/>
        </w:rPr>
        <w:t>3</w:t>
      </w:r>
      <w:r>
        <w:rPr>
          <w:rFonts w:ascii="Calibri" w:hAnsi="Calibri" w:eastAsia="Calibri"/>
          <w:spacing w:val="24"/>
          <w:sz w:val="21"/>
        </w:rPr>
        <w:t xml:space="preserve"> </w:t>
      </w:r>
      <w:r>
        <w:rPr>
          <w:spacing w:val="-4"/>
          <w:sz w:val="21"/>
        </w:rPr>
        <w:t>日内作出答复；作出答复前，暂停招标投标活动。异议与答复应当通</w:t>
      </w:r>
      <w:r>
        <w:rPr>
          <w:spacing w:val="-2"/>
          <w:sz w:val="21"/>
        </w:rPr>
        <w:t>过</w:t>
      </w:r>
      <w:r>
        <w:rPr>
          <w:rFonts w:ascii="Calibri" w:hAnsi="Calibri" w:eastAsia="Calibri"/>
          <w:spacing w:val="-2"/>
          <w:sz w:val="21"/>
        </w:rPr>
        <w:t>“</w:t>
      </w:r>
      <w:r>
        <w:rPr>
          <w:spacing w:val="-2"/>
          <w:sz w:val="21"/>
        </w:rPr>
        <w:t>电子交易平台</w:t>
      </w:r>
      <w:r>
        <w:rPr>
          <w:rFonts w:ascii="Calibri" w:hAnsi="Calibri" w:eastAsia="Calibri"/>
          <w:spacing w:val="-2"/>
          <w:sz w:val="21"/>
        </w:rPr>
        <w:t>”</w:t>
      </w:r>
      <w:r>
        <w:rPr>
          <w:spacing w:val="-2"/>
          <w:sz w:val="21"/>
        </w:rPr>
        <w:t>在</w:t>
      </w:r>
      <w:r>
        <w:rPr>
          <w:rFonts w:ascii="Calibri" w:hAnsi="Calibri" w:eastAsia="Calibri"/>
          <w:spacing w:val="-2"/>
          <w:sz w:val="21"/>
        </w:rPr>
        <w:t>“</w:t>
      </w:r>
      <w:r>
        <w:rPr>
          <w:spacing w:val="-2"/>
          <w:sz w:val="21"/>
        </w:rPr>
        <w:t>异议与答复</w:t>
      </w:r>
      <w:r>
        <w:rPr>
          <w:rFonts w:ascii="Calibri" w:hAnsi="Calibri" w:eastAsia="Calibri"/>
          <w:spacing w:val="-2"/>
          <w:sz w:val="21"/>
        </w:rPr>
        <w:t>”</w:t>
      </w:r>
      <w:r>
        <w:rPr>
          <w:spacing w:val="-2"/>
          <w:sz w:val="21"/>
        </w:rPr>
        <w:t>菜单以书面形式进行。</w:t>
      </w:r>
    </w:p>
    <w:p w14:paraId="1F86080F">
      <w:pPr>
        <w:pStyle w:val="82"/>
        <w:numPr>
          <w:ilvl w:val="1"/>
          <w:numId w:val="3"/>
        </w:numPr>
        <w:tabs>
          <w:tab w:val="left" w:pos="1535"/>
        </w:tabs>
        <w:spacing w:before="33" w:after="0" w:line="240" w:lineRule="auto"/>
        <w:ind w:left="1535" w:right="0" w:hanging="448"/>
        <w:jc w:val="both"/>
        <w:rPr>
          <w:rFonts w:ascii="Arial" w:eastAsia="Arial"/>
          <w:sz w:val="24"/>
        </w:rPr>
      </w:pPr>
      <w:bookmarkStart w:id="219" w:name="7.3 中标候选人履约能力审查"/>
      <w:bookmarkEnd w:id="219"/>
      <w:r>
        <w:rPr>
          <w:spacing w:val="-1"/>
          <w:sz w:val="24"/>
        </w:rPr>
        <w:t>中标候选人履约能力审查</w:t>
      </w:r>
    </w:p>
    <w:p w14:paraId="52049405">
      <w:pPr>
        <w:spacing w:before="154" w:line="343" w:lineRule="auto"/>
        <w:ind w:left="802" w:right="857" w:firstLine="420"/>
        <w:jc w:val="left"/>
        <w:rPr>
          <w:sz w:val="21"/>
        </w:rPr>
      </w:pPr>
      <w:r>
        <w:rPr>
          <w:spacing w:val="-4"/>
          <w:sz w:val="21"/>
        </w:rPr>
        <w:t>中标候选人的经营、财务状况发生较大变化或存在违法行为，招标人认为可能影响其履</w:t>
      </w:r>
      <w:r>
        <w:rPr>
          <w:spacing w:val="-11"/>
          <w:sz w:val="21"/>
        </w:rPr>
        <w:t>约能力的，将在发出中标通知书前提请原评标委员会按照招标文件规定的标准和方法进行审</w:t>
      </w:r>
    </w:p>
    <w:p w14:paraId="5ACC02DF">
      <w:pPr>
        <w:spacing w:after="0" w:line="343" w:lineRule="auto"/>
        <w:jc w:val="left"/>
        <w:rPr>
          <w:sz w:val="21"/>
        </w:rPr>
        <w:sectPr>
          <w:pgSz w:w="11910" w:h="16850"/>
          <w:pgMar w:top="1400" w:right="920" w:bottom="1060" w:left="1000" w:header="0" w:footer="866" w:gutter="0"/>
          <w:cols w:space="720" w:num="1"/>
        </w:sectPr>
      </w:pPr>
    </w:p>
    <w:p w14:paraId="7F5AF1AA">
      <w:pPr>
        <w:spacing w:before="52"/>
        <w:ind w:left="802" w:right="0" w:firstLine="0"/>
        <w:jc w:val="left"/>
        <w:rPr>
          <w:sz w:val="21"/>
        </w:rPr>
      </w:pPr>
      <w:r>
        <w:rPr>
          <w:spacing w:val="-3"/>
          <w:sz w:val="21"/>
        </w:rPr>
        <w:t>查确认。</w:t>
      </w:r>
    </w:p>
    <w:p w14:paraId="0D759DAB">
      <w:pPr>
        <w:pStyle w:val="82"/>
        <w:numPr>
          <w:ilvl w:val="1"/>
          <w:numId w:val="3"/>
        </w:numPr>
        <w:tabs>
          <w:tab w:val="left" w:pos="1762"/>
        </w:tabs>
        <w:spacing w:before="177" w:after="0" w:line="240" w:lineRule="auto"/>
        <w:ind w:left="1762" w:right="0" w:hanging="675"/>
        <w:jc w:val="both"/>
        <w:rPr>
          <w:rFonts w:ascii="Arial" w:eastAsia="Arial"/>
          <w:sz w:val="24"/>
        </w:rPr>
      </w:pPr>
      <w:bookmarkStart w:id="220" w:name="7.4  定标"/>
      <w:bookmarkEnd w:id="220"/>
      <w:r>
        <w:rPr>
          <w:spacing w:val="-5"/>
          <w:sz w:val="24"/>
        </w:rPr>
        <w:t>定标</w:t>
      </w:r>
    </w:p>
    <w:p w14:paraId="62E5F0EA">
      <w:pPr>
        <w:spacing w:before="139"/>
        <w:ind w:left="244" w:right="0" w:firstLine="0"/>
        <w:jc w:val="center"/>
        <w:rPr>
          <w:sz w:val="21"/>
        </w:rPr>
      </w:pPr>
      <w:r>
        <w:rPr>
          <w:spacing w:val="-1"/>
          <w:sz w:val="21"/>
        </w:rPr>
        <w:t>按照投标人须知前附表的规定，招标人或招标人授权的评标委员会依法确定中标人。</w:t>
      </w:r>
    </w:p>
    <w:p w14:paraId="4F07F994">
      <w:pPr>
        <w:pStyle w:val="82"/>
        <w:numPr>
          <w:ilvl w:val="1"/>
          <w:numId w:val="3"/>
        </w:numPr>
        <w:tabs>
          <w:tab w:val="left" w:pos="1535"/>
        </w:tabs>
        <w:spacing w:before="177" w:after="0" w:line="240" w:lineRule="auto"/>
        <w:ind w:left="1535" w:right="0" w:hanging="448"/>
        <w:jc w:val="both"/>
        <w:rPr>
          <w:rFonts w:ascii="Arial" w:eastAsia="Arial"/>
          <w:sz w:val="24"/>
        </w:rPr>
      </w:pPr>
      <w:bookmarkStart w:id="221" w:name="7.5 中标通知"/>
      <w:bookmarkEnd w:id="221"/>
      <w:r>
        <w:rPr>
          <w:spacing w:val="-3"/>
          <w:sz w:val="24"/>
        </w:rPr>
        <w:t>中标通知</w:t>
      </w:r>
    </w:p>
    <w:p w14:paraId="53DDDDFF">
      <w:pPr>
        <w:spacing w:before="12" w:line="400" w:lineRule="atLeast"/>
        <w:ind w:left="802" w:right="863" w:firstLine="420"/>
        <w:jc w:val="left"/>
        <w:rPr>
          <w:sz w:val="21"/>
        </w:rPr>
      </w:pPr>
      <w:r>
        <w:rPr>
          <w:spacing w:val="-10"/>
          <w:sz w:val="21"/>
        </w:rPr>
        <w:t xml:space="preserve">在本章第 </w:t>
      </w:r>
      <w:r>
        <w:rPr>
          <w:rFonts w:ascii="Calibri" w:hAnsi="Calibri" w:eastAsia="Calibri"/>
          <w:sz w:val="21"/>
        </w:rPr>
        <w:t>3.3</w:t>
      </w:r>
      <w:r>
        <w:rPr>
          <w:rFonts w:ascii="Calibri" w:hAnsi="Calibri" w:eastAsia="Calibri"/>
          <w:spacing w:val="-10"/>
          <w:sz w:val="21"/>
        </w:rPr>
        <w:t xml:space="preserve"> </w:t>
      </w:r>
      <w:r>
        <w:rPr>
          <w:sz w:val="21"/>
        </w:rPr>
        <w:t>款规定的投标有效期内，招标人通过</w:t>
      </w:r>
      <w:r>
        <w:rPr>
          <w:rFonts w:ascii="Calibri" w:hAnsi="Calibri" w:eastAsia="Calibri"/>
          <w:sz w:val="21"/>
        </w:rPr>
        <w:t>“</w:t>
      </w:r>
      <w:r>
        <w:rPr>
          <w:sz w:val="21"/>
        </w:rPr>
        <w:t>电子交易平台</w:t>
      </w:r>
      <w:r>
        <w:rPr>
          <w:rFonts w:ascii="Calibri" w:hAnsi="Calibri" w:eastAsia="Calibri"/>
          <w:sz w:val="21"/>
        </w:rPr>
        <w:t>”</w:t>
      </w:r>
      <w:r>
        <w:rPr>
          <w:sz w:val="21"/>
        </w:rPr>
        <w:t>以书面形式向中标人</w:t>
      </w:r>
      <w:r>
        <w:rPr>
          <w:spacing w:val="-2"/>
          <w:sz w:val="21"/>
        </w:rPr>
        <w:t>发出中标通知书，同时将中标结果通知未中标的投标人。</w:t>
      </w:r>
    </w:p>
    <w:p w14:paraId="4AC24C56">
      <w:pPr>
        <w:spacing w:before="4" w:line="237" w:lineRule="auto"/>
        <w:ind w:left="802" w:right="862" w:firstLine="420"/>
        <w:jc w:val="left"/>
        <w:rPr>
          <w:sz w:val="21"/>
        </w:rPr>
      </w:pPr>
      <w:r>
        <w:rPr>
          <w:spacing w:val="-4"/>
          <w:sz w:val="21"/>
        </w:rPr>
        <w:t xml:space="preserve">中标通知书发出的同时，招标人将在投标人须知前附表第 </w:t>
      </w:r>
      <w:r>
        <w:rPr>
          <w:rFonts w:ascii="Calibri" w:eastAsia="Calibri"/>
          <w:spacing w:val="-2"/>
          <w:sz w:val="21"/>
        </w:rPr>
        <w:t>7.1</w:t>
      </w:r>
      <w:r>
        <w:rPr>
          <w:rFonts w:ascii="Calibri" w:eastAsia="Calibri"/>
          <w:spacing w:val="13"/>
          <w:sz w:val="21"/>
        </w:rPr>
        <w:t xml:space="preserve"> </w:t>
      </w:r>
      <w:r>
        <w:rPr>
          <w:spacing w:val="-2"/>
          <w:sz w:val="21"/>
        </w:rPr>
        <w:t>款规定的媒介发布中标结</w:t>
      </w:r>
      <w:r>
        <w:rPr>
          <w:spacing w:val="-4"/>
          <w:sz w:val="21"/>
        </w:rPr>
        <w:t>果公告。</w:t>
      </w:r>
    </w:p>
    <w:p w14:paraId="044F3DE8">
      <w:pPr>
        <w:pStyle w:val="82"/>
        <w:numPr>
          <w:ilvl w:val="1"/>
          <w:numId w:val="3"/>
        </w:numPr>
        <w:tabs>
          <w:tab w:val="left" w:pos="1762"/>
        </w:tabs>
        <w:spacing w:before="178" w:after="0" w:line="240" w:lineRule="auto"/>
        <w:ind w:left="1762" w:right="0" w:hanging="675"/>
        <w:jc w:val="both"/>
        <w:rPr>
          <w:rFonts w:ascii="Arial" w:eastAsia="Arial"/>
          <w:sz w:val="24"/>
        </w:rPr>
      </w:pPr>
      <w:bookmarkStart w:id="222" w:name="7.6  履约保证金"/>
      <w:bookmarkEnd w:id="222"/>
      <w:r>
        <w:rPr>
          <w:spacing w:val="-2"/>
          <w:sz w:val="24"/>
        </w:rPr>
        <w:t>履约保证金</w:t>
      </w:r>
    </w:p>
    <w:p w14:paraId="26087449">
      <w:pPr>
        <w:pStyle w:val="82"/>
        <w:numPr>
          <w:ilvl w:val="2"/>
          <w:numId w:val="3"/>
        </w:numPr>
        <w:tabs>
          <w:tab w:val="left" w:pos="1759"/>
        </w:tabs>
        <w:spacing w:before="139" w:after="0" w:line="350" w:lineRule="auto"/>
        <w:ind w:left="802" w:right="856" w:firstLine="420"/>
        <w:jc w:val="both"/>
        <w:rPr>
          <w:sz w:val="21"/>
        </w:rPr>
      </w:pPr>
      <w:r>
        <w:rPr>
          <w:spacing w:val="-2"/>
          <w:sz w:val="21"/>
        </w:rPr>
        <w:t>在签订合同前，中标人应按投标人须知前附表规定的形式、金额和招标文件第四</w:t>
      </w:r>
      <w:r>
        <w:rPr>
          <w:sz w:val="21"/>
        </w:rPr>
        <w:t>章</w:t>
      </w:r>
      <w:r>
        <w:rPr>
          <w:rFonts w:ascii="Calibri" w:hAnsi="Calibri" w:eastAsia="Calibri"/>
          <w:sz w:val="21"/>
        </w:rPr>
        <w:t>“</w:t>
      </w:r>
      <w:r>
        <w:rPr>
          <w:sz w:val="21"/>
        </w:rPr>
        <w:t>合同条款及格式</w:t>
      </w:r>
      <w:r>
        <w:rPr>
          <w:rFonts w:ascii="Calibri" w:hAnsi="Calibri" w:eastAsia="Calibri"/>
          <w:sz w:val="21"/>
        </w:rPr>
        <w:t>”</w:t>
      </w:r>
      <w:r>
        <w:rPr>
          <w:sz w:val="21"/>
        </w:rPr>
        <w:t>规定的或事先经过招标人书面认可的履约保证金格式向招标人提交履</w:t>
      </w:r>
      <w:r>
        <w:rPr>
          <w:spacing w:val="-2"/>
          <w:sz w:val="21"/>
        </w:rPr>
        <w:t>约保证金。联合体中标的，其履约保证金以联合体各方或联合体中牵头人的名义提交。</w:t>
      </w:r>
    </w:p>
    <w:p w14:paraId="3AB6AC81">
      <w:pPr>
        <w:pStyle w:val="82"/>
        <w:numPr>
          <w:ilvl w:val="2"/>
          <w:numId w:val="3"/>
        </w:numPr>
        <w:tabs>
          <w:tab w:val="left" w:pos="1759"/>
        </w:tabs>
        <w:spacing w:before="5" w:after="0" w:line="350" w:lineRule="auto"/>
        <w:ind w:left="802" w:right="859" w:firstLine="420"/>
        <w:jc w:val="both"/>
        <w:rPr>
          <w:sz w:val="21"/>
        </w:rPr>
      </w:pPr>
      <w:r>
        <w:rPr>
          <w:spacing w:val="-2"/>
          <w:sz w:val="21"/>
        </w:rPr>
        <w:t xml:space="preserve">中标人不能按本章第 </w:t>
      </w:r>
      <w:r>
        <w:rPr>
          <w:rFonts w:ascii="Calibri" w:eastAsia="Calibri"/>
          <w:sz w:val="21"/>
        </w:rPr>
        <w:t>7.6.1</w:t>
      </w:r>
      <w:r>
        <w:rPr>
          <w:rFonts w:ascii="Calibri" w:eastAsia="Calibri"/>
          <w:spacing w:val="40"/>
          <w:sz w:val="21"/>
        </w:rPr>
        <w:t xml:space="preserve"> </w:t>
      </w:r>
      <w:r>
        <w:rPr>
          <w:sz w:val="21"/>
        </w:rPr>
        <w:t>项要求提交履约保证金的，视为放弃中标，其投标保</w:t>
      </w:r>
      <w:r>
        <w:rPr>
          <w:spacing w:val="-4"/>
          <w:sz w:val="21"/>
        </w:rPr>
        <w:t>证金不予退还，给招标人造成的损失超过投标保证金数额的，中标人还应对超过部分予以赔</w:t>
      </w:r>
      <w:r>
        <w:rPr>
          <w:spacing w:val="-6"/>
          <w:sz w:val="21"/>
        </w:rPr>
        <w:t>偿。</w:t>
      </w:r>
    </w:p>
    <w:p w14:paraId="34A533F1">
      <w:pPr>
        <w:pStyle w:val="82"/>
        <w:numPr>
          <w:ilvl w:val="1"/>
          <w:numId w:val="3"/>
        </w:numPr>
        <w:tabs>
          <w:tab w:val="left" w:pos="1535"/>
        </w:tabs>
        <w:spacing w:before="50" w:after="0" w:line="240" w:lineRule="auto"/>
        <w:ind w:left="1535" w:right="0" w:hanging="448"/>
        <w:jc w:val="both"/>
        <w:rPr>
          <w:rFonts w:ascii="Arial" w:eastAsia="Arial"/>
          <w:sz w:val="24"/>
        </w:rPr>
      </w:pPr>
      <w:bookmarkStart w:id="223" w:name="7.7 签订合同"/>
      <w:bookmarkEnd w:id="223"/>
      <w:r>
        <w:rPr>
          <w:spacing w:val="-3"/>
          <w:sz w:val="24"/>
        </w:rPr>
        <w:t>签订合同</w:t>
      </w:r>
    </w:p>
    <w:p w14:paraId="304A86A0">
      <w:pPr>
        <w:pStyle w:val="82"/>
        <w:numPr>
          <w:ilvl w:val="2"/>
          <w:numId w:val="3"/>
        </w:numPr>
        <w:tabs>
          <w:tab w:val="left" w:pos="1759"/>
        </w:tabs>
        <w:spacing w:before="139" w:after="0" w:line="352" w:lineRule="auto"/>
        <w:ind w:left="802" w:right="765" w:firstLine="420"/>
        <w:jc w:val="left"/>
        <w:rPr>
          <w:sz w:val="21"/>
        </w:rPr>
      </w:pPr>
      <w:r>
        <w:rPr>
          <w:sz w:val="21"/>
        </w:rPr>
        <w:t xml:space="preserve">招标人和中标人应在中标通知书发出之日起 </w:t>
      </w:r>
      <w:r>
        <w:rPr>
          <w:rFonts w:ascii="Calibri" w:eastAsia="Calibri"/>
          <w:sz w:val="21"/>
        </w:rPr>
        <w:t>30</w:t>
      </w:r>
      <w:r>
        <w:rPr>
          <w:rFonts w:ascii="Calibri" w:eastAsia="Calibri"/>
          <w:spacing w:val="40"/>
          <w:sz w:val="21"/>
        </w:rPr>
        <w:t xml:space="preserve"> </w:t>
      </w:r>
      <w:r>
        <w:rPr>
          <w:sz w:val="21"/>
        </w:rPr>
        <w:t>日内，根据招标文件和中标人的</w:t>
      </w:r>
      <w:r>
        <w:rPr>
          <w:spacing w:val="-16"/>
          <w:sz w:val="21"/>
        </w:rPr>
        <w:t>投标文件订立书面合同。中标人无正当理由拒签合同，在签订合同时向招标人提出附加条件，</w:t>
      </w:r>
      <w:r>
        <w:rPr>
          <w:spacing w:val="-12"/>
          <w:sz w:val="21"/>
        </w:rPr>
        <w:t>或不按照招标文件要求提交履约保证金的，招标人取消其中标资格，其投标保证金不予退还；</w:t>
      </w:r>
      <w:r>
        <w:rPr>
          <w:spacing w:val="-2"/>
          <w:sz w:val="21"/>
        </w:rPr>
        <w:t>给招标人造成的损失超过投标保证金数额的，中标人还应对超过部分予以赔偿。</w:t>
      </w:r>
    </w:p>
    <w:p w14:paraId="50F05230">
      <w:pPr>
        <w:pStyle w:val="82"/>
        <w:numPr>
          <w:ilvl w:val="2"/>
          <w:numId w:val="3"/>
        </w:numPr>
        <w:tabs>
          <w:tab w:val="left" w:pos="1759"/>
        </w:tabs>
        <w:spacing w:before="1" w:after="0" w:line="357" w:lineRule="auto"/>
        <w:ind w:left="802" w:right="856" w:firstLine="420"/>
        <w:jc w:val="left"/>
        <w:rPr>
          <w:sz w:val="21"/>
        </w:rPr>
      </w:pPr>
      <w:r>
        <w:rPr>
          <w:spacing w:val="-2"/>
          <w:sz w:val="21"/>
        </w:rPr>
        <w:t>发出中标通知书后，招标人无正当理由拒签合同的，或在签订合同时向中标人提出附加条件的，招标人向中标人退还投标保证金；给中标人造成损失的，还应赔偿损失。</w:t>
      </w:r>
    </w:p>
    <w:p w14:paraId="751039B2">
      <w:pPr>
        <w:pStyle w:val="82"/>
        <w:numPr>
          <w:ilvl w:val="2"/>
          <w:numId w:val="3"/>
        </w:numPr>
        <w:tabs>
          <w:tab w:val="left" w:pos="1760"/>
        </w:tabs>
        <w:spacing w:before="0" w:after="0" w:line="255" w:lineRule="exact"/>
        <w:ind w:left="1760" w:right="0" w:hanging="537"/>
        <w:jc w:val="left"/>
        <w:rPr>
          <w:sz w:val="21"/>
        </w:rPr>
      </w:pPr>
      <w:r>
        <w:rPr>
          <w:spacing w:val="-1"/>
          <w:sz w:val="21"/>
        </w:rPr>
        <w:t>联合体中标的，联合体各方应共同与招标人签订合同，就中标项目向招标人承担</w:t>
      </w:r>
    </w:p>
    <w:p w14:paraId="01C1AE3F">
      <w:pPr>
        <w:spacing w:before="132"/>
        <w:ind w:left="802" w:right="0" w:firstLine="0"/>
        <w:jc w:val="left"/>
        <w:rPr>
          <w:sz w:val="21"/>
        </w:rPr>
      </w:pPr>
      <w:r>
        <w:rPr>
          <w:spacing w:val="-2"/>
          <w:sz w:val="21"/>
        </w:rPr>
        <w:t>连带责任。</w:t>
      </w:r>
    </w:p>
    <w:p w14:paraId="3F1195FD">
      <w:pPr>
        <w:pStyle w:val="82"/>
        <w:numPr>
          <w:ilvl w:val="2"/>
          <w:numId w:val="3"/>
        </w:numPr>
        <w:tabs>
          <w:tab w:val="left" w:pos="1760"/>
        </w:tabs>
        <w:spacing w:before="133" w:after="0" w:line="240" w:lineRule="auto"/>
        <w:ind w:left="1760" w:right="0" w:hanging="537"/>
        <w:jc w:val="left"/>
        <w:rPr>
          <w:sz w:val="21"/>
        </w:rPr>
      </w:pPr>
      <w:r>
        <w:rPr>
          <w:spacing w:val="-5"/>
          <w:sz w:val="21"/>
        </w:rPr>
        <w:t xml:space="preserve">招标人应当在合同签订后 </w:t>
      </w:r>
      <w:r>
        <w:rPr>
          <w:rFonts w:ascii="Calibri" w:hAnsi="Calibri" w:eastAsia="Calibri"/>
          <w:sz w:val="21"/>
        </w:rPr>
        <w:t>15</w:t>
      </w:r>
      <w:r>
        <w:rPr>
          <w:rFonts w:ascii="Calibri" w:hAnsi="Calibri" w:eastAsia="Calibri"/>
          <w:spacing w:val="-4"/>
          <w:sz w:val="21"/>
        </w:rPr>
        <w:t xml:space="preserve"> </w:t>
      </w:r>
      <w:r>
        <w:rPr>
          <w:sz w:val="21"/>
        </w:rPr>
        <w:t>日内，登录</w:t>
      </w:r>
      <w:r>
        <w:rPr>
          <w:rFonts w:ascii="Calibri" w:hAnsi="Calibri" w:eastAsia="Calibri"/>
          <w:sz w:val="21"/>
        </w:rPr>
        <w:t>“</w:t>
      </w:r>
      <w:r>
        <w:rPr>
          <w:sz w:val="21"/>
        </w:rPr>
        <w:t>电子交易平台</w:t>
      </w:r>
      <w:r>
        <w:rPr>
          <w:rFonts w:ascii="Calibri" w:hAnsi="Calibri" w:eastAsia="Calibri"/>
          <w:sz w:val="21"/>
        </w:rPr>
        <w:t>”</w:t>
      </w:r>
      <w:r>
        <w:rPr>
          <w:spacing w:val="-1"/>
          <w:sz w:val="21"/>
        </w:rPr>
        <w:t>提交电子合同文件存档。</w:t>
      </w:r>
    </w:p>
    <w:p w14:paraId="2655247E">
      <w:pPr>
        <w:pStyle w:val="82"/>
        <w:numPr>
          <w:ilvl w:val="0"/>
          <w:numId w:val="3"/>
        </w:numPr>
        <w:tabs>
          <w:tab w:val="left" w:pos="1521"/>
        </w:tabs>
        <w:spacing w:before="12" w:after="0" w:line="240" w:lineRule="auto"/>
        <w:ind w:left="1521" w:right="0" w:hanging="298"/>
        <w:jc w:val="left"/>
        <w:rPr>
          <w:sz w:val="24"/>
        </w:rPr>
      </w:pPr>
      <w:bookmarkStart w:id="224" w:name="_bookmark12"/>
      <w:bookmarkEnd w:id="224"/>
      <w:bookmarkStart w:id="225" w:name="8. 纪律和监督"/>
      <w:bookmarkEnd w:id="225"/>
      <w:r>
        <w:rPr>
          <w:spacing w:val="-2"/>
          <w:sz w:val="24"/>
        </w:rPr>
        <w:t>纪律和监督</w:t>
      </w:r>
    </w:p>
    <w:p w14:paraId="5514B08A">
      <w:pPr>
        <w:pStyle w:val="82"/>
        <w:numPr>
          <w:ilvl w:val="1"/>
          <w:numId w:val="3"/>
        </w:numPr>
        <w:tabs>
          <w:tab w:val="left" w:pos="1535"/>
        </w:tabs>
        <w:spacing w:before="303" w:after="0" w:line="240" w:lineRule="auto"/>
        <w:ind w:left="1535" w:right="0" w:hanging="448"/>
        <w:jc w:val="left"/>
        <w:rPr>
          <w:rFonts w:ascii="Arial" w:eastAsia="Arial"/>
          <w:sz w:val="24"/>
        </w:rPr>
      </w:pPr>
      <w:bookmarkStart w:id="226" w:name="8.1 对招标人的纪律要求"/>
      <w:bookmarkEnd w:id="226"/>
      <w:r>
        <w:rPr>
          <w:spacing w:val="-2"/>
          <w:sz w:val="24"/>
        </w:rPr>
        <w:t>对招标人的纪律要求</w:t>
      </w:r>
    </w:p>
    <w:p w14:paraId="540BCF7B">
      <w:pPr>
        <w:spacing w:before="154" w:line="343" w:lineRule="auto"/>
        <w:ind w:left="802" w:right="875" w:firstLine="420"/>
        <w:jc w:val="left"/>
        <w:rPr>
          <w:sz w:val="21"/>
        </w:rPr>
      </w:pPr>
      <w:r>
        <w:rPr>
          <w:sz w:val="21"/>
        </w:rPr>
        <w:t>招标人不得泄露招标投标活动中应保密的情况和资料，不得与投标人串通损害国家利</w:t>
      </w:r>
      <w:r>
        <w:rPr>
          <w:spacing w:val="-2"/>
          <w:sz w:val="21"/>
        </w:rPr>
        <w:t>益、社会公共利益或他人合法权益。</w:t>
      </w:r>
    </w:p>
    <w:p w14:paraId="16520BBB">
      <w:pPr>
        <w:pStyle w:val="82"/>
        <w:numPr>
          <w:ilvl w:val="1"/>
          <w:numId w:val="3"/>
        </w:numPr>
        <w:tabs>
          <w:tab w:val="left" w:pos="1535"/>
        </w:tabs>
        <w:spacing w:before="59" w:after="0" w:line="240" w:lineRule="auto"/>
        <w:ind w:left="1535" w:right="0" w:hanging="448"/>
        <w:jc w:val="left"/>
        <w:rPr>
          <w:rFonts w:ascii="Arial" w:eastAsia="Arial"/>
          <w:sz w:val="24"/>
        </w:rPr>
      </w:pPr>
      <w:bookmarkStart w:id="227" w:name="8.2 对投标人的纪律要求"/>
      <w:bookmarkEnd w:id="227"/>
      <w:r>
        <w:rPr>
          <w:spacing w:val="-2"/>
          <w:sz w:val="24"/>
        </w:rPr>
        <w:t>对投标人的纪律要求</w:t>
      </w:r>
    </w:p>
    <w:p w14:paraId="75287AF4">
      <w:pPr>
        <w:spacing w:before="139" w:line="355" w:lineRule="auto"/>
        <w:ind w:left="802" w:right="769" w:firstLine="420"/>
        <w:jc w:val="left"/>
        <w:rPr>
          <w:sz w:val="21"/>
        </w:rPr>
      </w:pPr>
      <w:r>
        <w:rPr>
          <w:spacing w:val="-7"/>
          <w:sz w:val="21"/>
        </w:rPr>
        <w:t>投标人不得相互串通投标或与招标人串通投标，不得向招标人或评标委员会成员行贿谋</w:t>
      </w:r>
      <w:r>
        <w:rPr>
          <w:spacing w:val="-17"/>
          <w:sz w:val="21"/>
        </w:rPr>
        <w:t>取中标，不得以他人名义投标或以其他方式弄虚作假骗取中标；投标人不得以任何方式干扰、</w:t>
      </w:r>
      <w:r>
        <w:rPr>
          <w:spacing w:val="-2"/>
          <w:sz w:val="21"/>
        </w:rPr>
        <w:t>影响评标工作。</w:t>
      </w:r>
    </w:p>
    <w:p w14:paraId="1EBECF47">
      <w:pPr>
        <w:spacing w:after="0" w:line="355" w:lineRule="auto"/>
        <w:jc w:val="left"/>
        <w:rPr>
          <w:sz w:val="21"/>
        </w:rPr>
        <w:sectPr>
          <w:pgSz w:w="11910" w:h="16850"/>
          <w:pgMar w:top="1500" w:right="920" w:bottom="1060" w:left="1000" w:header="0" w:footer="866" w:gutter="0"/>
          <w:cols w:space="720" w:num="1"/>
        </w:sectPr>
      </w:pPr>
    </w:p>
    <w:p w14:paraId="434545BF">
      <w:pPr>
        <w:pStyle w:val="82"/>
        <w:numPr>
          <w:ilvl w:val="1"/>
          <w:numId w:val="3"/>
        </w:numPr>
        <w:tabs>
          <w:tab w:val="left" w:pos="1535"/>
        </w:tabs>
        <w:spacing w:before="57" w:after="0" w:line="240" w:lineRule="auto"/>
        <w:ind w:left="1535" w:right="0" w:hanging="448"/>
        <w:jc w:val="left"/>
        <w:rPr>
          <w:rFonts w:ascii="Arial" w:eastAsia="Arial"/>
          <w:sz w:val="24"/>
        </w:rPr>
      </w:pPr>
      <w:bookmarkStart w:id="228" w:name="8.3 对评标委员会成员的纪律要求"/>
      <w:bookmarkEnd w:id="228"/>
      <w:r>
        <w:rPr>
          <w:spacing w:val="-1"/>
          <w:sz w:val="24"/>
        </w:rPr>
        <w:t>对评标委员会成员的纪律要求</w:t>
      </w:r>
    </w:p>
    <w:p w14:paraId="1851A8CE">
      <w:pPr>
        <w:spacing w:before="139" w:line="352" w:lineRule="auto"/>
        <w:ind w:left="802" w:right="846" w:firstLine="420"/>
        <w:jc w:val="both"/>
        <w:rPr>
          <w:sz w:val="21"/>
        </w:rPr>
      </w:pPr>
      <w:r>
        <w:rPr>
          <w:spacing w:val="-7"/>
          <w:sz w:val="21"/>
        </w:rPr>
        <w:t>评标委员会成员不得收受他人的财物或其他好处，不得向他人透露对投标文件的评审和</w:t>
      </w:r>
      <w:r>
        <w:rPr>
          <w:spacing w:val="-2"/>
          <w:sz w:val="21"/>
        </w:rPr>
        <w:t>比较、中标候选人的推荐情况以及评标有关的其他情况。在评标活动中，评标委员会成员应客观、公正地履行职责，遵守职业道德，不得擅离职守，影响评标程序正常进行，不得使用第三章</w:t>
      </w:r>
      <w:r>
        <w:rPr>
          <w:rFonts w:ascii="Calibri" w:hAnsi="Calibri" w:eastAsia="Calibri"/>
          <w:spacing w:val="-2"/>
          <w:sz w:val="21"/>
        </w:rPr>
        <w:t>“</w:t>
      </w:r>
      <w:r>
        <w:rPr>
          <w:spacing w:val="-2"/>
          <w:sz w:val="21"/>
        </w:rPr>
        <w:t>评标办法</w:t>
      </w:r>
      <w:r>
        <w:rPr>
          <w:rFonts w:ascii="Calibri" w:hAnsi="Calibri" w:eastAsia="Calibri"/>
          <w:spacing w:val="-2"/>
          <w:sz w:val="21"/>
        </w:rPr>
        <w:t>”</w:t>
      </w:r>
      <w:r>
        <w:rPr>
          <w:spacing w:val="-2"/>
          <w:sz w:val="21"/>
        </w:rPr>
        <w:t>没有规定的评审因素和标准进行评标。</w:t>
      </w:r>
    </w:p>
    <w:p w14:paraId="1651AA96">
      <w:pPr>
        <w:pStyle w:val="82"/>
        <w:numPr>
          <w:ilvl w:val="1"/>
          <w:numId w:val="3"/>
        </w:numPr>
        <w:tabs>
          <w:tab w:val="left" w:pos="1535"/>
        </w:tabs>
        <w:spacing w:before="45" w:after="0" w:line="240" w:lineRule="auto"/>
        <w:ind w:left="1535" w:right="0" w:hanging="448"/>
        <w:jc w:val="left"/>
        <w:rPr>
          <w:rFonts w:ascii="Arial" w:eastAsia="Arial"/>
          <w:sz w:val="24"/>
        </w:rPr>
      </w:pPr>
      <w:bookmarkStart w:id="229" w:name="8.4 对与评标活动有关的工作人员的纪律要求"/>
      <w:bookmarkEnd w:id="229"/>
      <w:r>
        <w:rPr>
          <w:spacing w:val="-1"/>
          <w:sz w:val="24"/>
        </w:rPr>
        <w:t>对与评标活动有关的工作人员的纪律要求</w:t>
      </w:r>
    </w:p>
    <w:p w14:paraId="21D52A99">
      <w:pPr>
        <w:spacing w:before="140" w:line="355" w:lineRule="auto"/>
        <w:ind w:left="802" w:right="856" w:firstLine="420"/>
        <w:jc w:val="both"/>
        <w:rPr>
          <w:sz w:val="21"/>
        </w:rPr>
      </w:pPr>
      <w:r>
        <w:rPr>
          <w:spacing w:val="-6"/>
          <w:sz w:val="21"/>
        </w:rPr>
        <w:t>与评标活动有关的工作人员不得收受他人的财物或其他好处，不得向他人透露对投标文</w:t>
      </w:r>
      <w:r>
        <w:rPr>
          <w:spacing w:val="-2"/>
          <w:sz w:val="21"/>
        </w:rPr>
        <w:t>件的评审和比较、中标候选人的推荐情况以及评标有关的其他情况。在评标活动中，与评标活动有关的工作人员不得擅离职守，影响评标程序正常进行。</w:t>
      </w:r>
    </w:p>
    <w:p w14:paraId="2DC134AA">
      <w:pPr>
        <w:pStyle w:val="82"/>
        <w:numPr>
          <w:ilvl w:val="1"/>
          <w:numId w:val="3"/>
        </w:numPr>
        <w:tabs>
          <w:tab w:val="left" w:pos="1535"/>
        </w:tabs>
        <w:spacing w:before="33" w:after="0" w:line="240" w:lineRule="auto"/>
        <w:ind w:left="1535" w:right="0" w:hanging="448"/>
        <w:jc w:val="left"/>
        <w:rPr>
          <w:rFonts w:ascii="Arial" w:eastAsia="Arial"/>
          <w:sz w:val="24"/>
        </w:rPr>
      </w:pPr>
      <w:bookmarkStart w:id="230" w:name="8.5 投诉"/>
      <w:bookmarkEnd w:id="230"/>
      <w:r>
        <w:rPr>
          <w:spacing w:val="-5"/>
          <w:sz w:val="24"/>
        </w:rPr>
        <w:t>投诉</w:t>
      </w:r>
    </w:p>
    <w:p w14:paraId="7F593256">
      <w:pPr>
        <w:pStyle w:val="82"/>
        <w:numPr>
          <w:ilvl w:val="2"/>
          <w:numId w:val="3"/>
        </w:numPr>
        <w:tabs>
          <w:tab w:val="left" w:pos="1759"/>
        </w:tabs>
        <w:spacing w:before="139" w:after="0" w:line="343" w:lineRule="auto"/>
        <w:ind w:left="802" w:right="856" w:firstLine="420"/>
        <w:jc w:val="left"/>
        <w:rPr>
          <w:sz w:val="21"/>
        </w:rPr>
      </w:pPr>
      <w:r>
        <w:rPr>
          <w:spacing w:val="-2"/>
          <w:sz w:val="21"/>
        </w:rPr>
        <w:t>依据《中华人民共和国招标投标法实施条例》第四条第三款的规定，财政部门依法对实行招标投标的政府采购工程建设项目的政府采购政策执行情况实施监督。</w:t>
      </w:r>
    </w:p>
    <w:p w14:paraId="00D4D230">
      <w:pPr>
        <w:pStyle w:val="82"/>
        <w:numPr>
          <w:ilvl w:val="2"/>
          <w:numId w:val="3"/>
        </w:numPr>
        <w:tabs>
          <w:tab w:val="left" w:pos="1760"/>
        </w:tabs>
        <w:spacing w:before="30" w:after="0" w:line="240" w:lineRule="auto"/>
        <w:ind w:left="1760" w:right="0" w:hanging="537"/>
        <w:jc w:val="left"/>
        <w:rPr>
          <w:sz w:val="21"/>
        </w:rPr>
      </w:pPr>
      <w:r>
        <w:rPr>
          <w:spacing w:val="-1"/>
          <w:sz w:val="21"/>
        </w:rPr>
        <w:t>投标人或其他利害关系人认为招标投标活动不符合法律、行政法规规定的，可以</w:t>
      </w:r>
    </w:p>
    <w:p w14:paraId="4E8EC70E">
      <w:pPr>
        <w:spacing w:before="132" w:line="343" w:lineRule="auto"/>
        <w:ind w:left="802" w:right="859" w:firstLine="0"/>
        <w:jc w:val="left"/>
        <w:rPr>
          <w:sz w:val="21"/>
        </w:rPr>
      </w:pPr>
      <w:r>
        <w:rPr>
          <w:spacing w:val="-4"/>
          <w:sz w:val="21"/>
        </w:rPr>
        <w:t xml:space="preserve">自知道或应当知道之日起 </w:t>
      </w:r>
      <w:r>
        <w:rPr>
          <w:rFonts w:ascii="Calibri" w:eastAsia="Calibri"/>
          <w:sz w:val="21"/>
        </w:rPr>
        <w:t>10</w:t>
      </w:r>
      <w:r>
        <w:rPr>
          <w:rFonts w:ascii="Calibri" w:eastAsia="Calibri"/>
          <w:spacing w:val="-9"/>
          <w:sz w:val="21"/>
        </w:rPr>
        <w:t xml:space="preserve"> </w:t>
      </w:r>
      <w:r>
        <w:rPr>
          <w:sz w:val="21"/>
        </w:rPr>
        <w:t>日内向有关监督部门投诉。投诉应有明确的请求和必要的证明</w:t>
      </w:r>
      <w:r>
        <w:rPr>
          <w:spacing w:val="-4"/>
          <w:sz w:val="21"/>
        </w:rPr>
        <w:t>材料。</w:t>
      </w:r>
    </w:p>
    <w:p w14:paraId="50399DC8">
      <w:pPr>
        <w:pStyle w:val="82"/>
        <w:numPr>
          <w:ilvl w:val="2"/>
          <w:numId w:val="3"/>
        </w:numPr>
        <w:tabs>
          <w:tab w:val="left" w:pos="1760"/>
        </w:tabs>
        <w:spacing w:before="15" w:after="0" w:line="240" w:lineRule="auto"/>
        <w:ind w:left="1760" w:right="0" w:hanging="537"/>
        <w:jc w:val="left"/>
        <w:rPr>
          <w:sz w:val="21"/>
        </w:rPr>
      </w:pPr>
      <w:r>
        <w:rPr>
          <w:spacing w:val="-3"/>
          <w:sz w:val="21"/>
        </w:rPr>
        <w:t>投标人或其他利害关系人对招标文件、开标和评标结果提出投诉的，应按照本章</w:t>
      </w:r>
    </w:p>
    <w:p w14:paraId="6ED4723F">
      <w:pPr>
        <w:spacing w:before="132"/>
        <w:ind w:left="802" w:right="0" w:firstLine="0"/>
        <w:jc w:val="left"/>
        <w:rPr>
          <w:rFonts w:ascii="Calibri" w:eastAsia="Calibri"/>
          <w:sz w:val="21"/>
        </w:rPr>
      </w:pPr>
      <w:r>
        <w:rPr>
          <w:spacing w:val="-24"/>
          <w:sz w:val="21"/>
        </w:rPr>
        <w:t xml:space="preserve">第 </w:t>
      </w:r>
      <w:r>
        <w:rPr>
          <w:rFonts w:ascii="Calibri" w:eastAsia="Calibri"/>
          <w:sz w:val="21"/>
        </w:rPr>
        <w:t>2.4</w:t>
      </w:r>
      <w:r>
        <w:rPr>
          <w:rFonts w:ascii="Calibri" w:eastAsia="Calibri"/>
          <w:spacing w:val="-10"/>
          <w:sz w:val="21"/>
        </w:rPr>
        <w:t xml:space="preserve"> </w:t>
      </w:r>
      <w:r>
        <w:rPr>
          <w:spacing w:val="-12"/>
          <w:sz w:val="21"/>
        </w:rPr>
        <w:t xml:space="preserve">款、第 </w:t>
      </w:r>
      <w:r>
        <w:rPr>
          <w:rFonts w:ascii="Calibri" w:eastAsia="Calibri"/>
          <w:sz w:val="21"/>
        </w:rPr>
        <w:t>5.3</w:t>
      </w:r>
      <w:r>
        <w:rPr>
          <w:rFonts w:ascii="Calibri" w:eastAsia="Calibri"/>
          <w:spacing w:val="-9"/>
          <w:sz w:val="21"/>
        </w:rPr>
        <w:t xml:space="preserve"> </w:t>
      </w:r>
      <w:r>
        <w:rPr>
          <w:spacing w:val="-12"/>
          <w:sz w:val="21"/>
        </w:rPr>
        <w:t xml:space="preserve">款和第 </w:t>
      </w:r>
      <w:r>
        <w:rPr>
          <w:rFonts w:ascii="Calibri" w:eastAsia="Calibri"/>
          <w:sz w:val="21"/>
        </w:rPr>
        <w:t>7.2</w:t>
      </w:r>
      <w:r>
        <w:rPr>
          <w:rFonts w:ascii="Calibri" w:eastAsia="Calibri"/>
          <w:spacing w:val="3"/>
          <w:sz w:val="21"/>
        </w:rPr>
        <w:t xml:space="preserve"> </w:t>
      </w:r>
      <w:r>
        <w:rPr>
          <w:spacing w:val="-2"/>
          <w:sz w:val="21"/>
        </w:rPr>
        <w:t xml:space="preserve">款的规定先向招标人提出异议。异议答复期间不计算在第 </w:t>
      </w:r>
      <w:r>
        <w:rPr>
          <w:rFonts w:ascii="Calibri" w:eastAsia="Calibri"/>
          <w:spacing w:val="-2"/>
          <w:sz w:val="21"/>
        </w:rPr>
        <w:t>8.5.2</w:t>
      </w:r>
    </w:p>
    <w:p w14:paraId="7188338A">
      <w:pPr>
        <w:spacing w:before="118"/>
        <w:ind w:left="802" w:right="0" w:firstLine="0"/>
        <w:jc w:val="left"/>
        <w:rPr>
          <w:sz w:val="21"/>
        </w:rPr>
      </w:pPr>
      <w:r>
        <w:rPr>
          <w:spacing w:val="-2"/>
          <w:sz w:val="21"/>
        </w:rPr>
        <w:t>项规定的期限内。</w:t>
      </w:r>
    </w:p>
    <w:p w14:paraId="5F45D79C">
      <w:pPr>
        <w:pStyle w:val="82"/>
        <w:numPr>
          <w:ilvl w:val="2"/>
          <w:numId w:val="3"/>
        </w:numPr>
        <w:tabs>
          <w:tab w:val="left" w:pos="1759"/>
        </w:tabs>
        <w:spacing w:before="132" w:after="0" w:line="355" w:lineRule="auto"/>
        <w:ind w:left="802" w:right="856" w:firstLine="420"/>
        <w:jc w:val="left"/>
        <w:rPr>
          <w:sz w:val="21"/>
        </w:rPr>
      </w:pPr>
      <w:r>
        <w:rPr>
          <w:spacing w:val="-2"/>
          <w:sz w:val="21"/>
        </w:rPr>
        <w:t>投标人和其他利害关系人的投诉应按照《工程建设项目招标投标活动投诉处理办法》或《湖北省公共资源招标投标投诉处理办法》的规定进行。</w:t>
      </w:r>
    </w:p>
    <w:p w14:paraId="6160FFE6">
      <w:pPr>
        <w:spacing w:before="0" w:line="261" w:lineRule="exact"/>
        <w:ind w:left="1223" w:right="0" w:firstLine="0"/>
        <w:jc w:val="left"/>
        <w:rPr>
          <w:sz w:val="21"/>
        </w:rPr>
      </w:pPr>
      <w:r>
        <w:rPr>
          <w:spacing w:val="-1"/>
          <w:sz w:val="21"/>
        </w:rPr>
        <w:t>监督部门的联系方式见投标人须知前附表。</w:t>
      </w:r>
    </w:p>
    <w:p w14:paraId="387DA1E1">
      <w:pPr>
        <w:pStyle w:val="82"/>
        <w:numPr>
          <w:ilvl w:val="0"/>
          <w:numId w:val="3"/>
        </w:numPr>
        <w:tabs>
          <w:tab w:val="left" w:pos="1521"/>
        </w:tabs>
        <w:spacing w:before="26" w:after="0" w:line="240" w:lineRule="auto"/>
        <w:ind w:left="1521" w:right="0" w:hanging="298"/>
        <w:jc w:val="left"/>
        <w:rPr>
          <w:sz w:val="24"/>
        </w:rPr>
      </w:pPr>
      <w:bookmarkStart w:id="231" w:name="_bookmark13"/>
      <w:bookmarkEnd w:id="231"/>
      <w:bookmarkStart w:id="232" w:name="9. 需要补充的其他内容"/>
      <w:bookmarkEnd w:id="232"/>
      <w:r>
        <w:rPr>
          <w:spacing w:val="-2"/>
          <w:sz w:val="24"/>
        </w:rPr>
        <w:t>需要补充的其他内容</w:t>
      </w:r>
    </w:p>
    <w:p w14:paraId="288B196E">
      <w:pPr>
        <w:pStyle w:val="82"/>
        <w:numPr>
          <w:ilvl w:val="1"/>
          <w:numId w:val="3"/>
        </w:numPr>
        <w:tabs>
          <w:tab w:val="left" w:pos="1595"/>
        </w:tabs>
        <w:spacing w:before="259" w:after="0" w:line="350" w:lineRule="auto"/>
        <w:ind w:left="802" w:right="865" w:firstLine="420"/>
        <w:jc w:val="both"/>
        <w:rPr>
          <w:rFonts w:ascii="Calibri" w:eastAsia="Calibri"/>
          <w:sz w:val="21"/>
        </w:rPr>
      </w:pPr>
      <w:r>
        <w:rPr>
          <w:sz w:val="21"/>
        </w:rPr>
        <w:t>自下载招标文件之日起，投标人应保证其提供的联系方式</w:t>
      </w:r>
      <w:r>
        <w:rPr>
          <w:rFonts w:ascii="Calibri" w:eastAsia="Calibri"/>
          <w:sz w:val="21"/>
        </w:rPr>
        <w:t>(</w:t>
      </w:r>
      <w:r>
        <w:rPr>
          <w:sz w:val="21"/>
        </w:rPr>
        <w:t>电话、传真、电子邮件</w:t>
      </w:r>
      <w:r>
        <w:rPr>
          <w:rFonts w:ascii="Calibri" w:eastAsia="Calibri"/>
          <w:sz w:val="21"/>
        </w:rPr>
        <w:t>)</w:t>
      </w:r>
      <w:r>
        <w:rPr>
          <w:spacing w:val="-2"/>
          <w:sz w:val="21"/>
        </w:rPr>
        <w:t>一直有效，以便及时收到招标人发出的函件</w:t>
      </w:r>
      <w:r>
        <w:rPr>
          <w:rFonts w:ascii="Calibri" w:eastAsia="Calibri"/>
          <w:spacing w:val="-2"/>
          <w:sz w:val="21"/>
        </w:rPr>
        <w:t>(</w:t>
      </w:r>
      <w:r>
        <w:rPr>
          <w:spacing w:val="-2"/>
          <w:sz w:val="21"/>
        </w:rPr>
        <w:t>招标文件的澄清、修改等</w:t>
      </w:r>
      <w:r>
        <w:rPr>
          <w:rFonts w:ascii="Calibri" w:eastAsia="Calibri"/>
          <w:spacing w:val="-2"/>
          <w:sz w:val="21"/>
        </w:rPr>
        <w:t>)</w:t>
      </w:r>
      <w:r>
        <w:rPr>
          <w:spacing w:val="-2"/>
          <w:sz w:val="21"/>
        </w:rPr>
        <w:t>，并应及时向招标人反馈信息，否则招标人不承担由此引起的一切后果。</w:t>
      </w:r>
    </w:p>
    <w:p w14:paraId="66FCC977">
      <w:pPr>
        <w:pStyle w:val="82"/>
        <w:numPr>
          <w:ilvl w:val="1"/>
          <w:numId w:val="3"/>
        </w:numPr>
        <w:tabs>
          <w:tab w:val="left" w:pos="1551"/>
        </w:tabs>
        <w:spacing w:before="6" w:after="0" w:line="240" w:lineRule="auto"/>
        <w:ind w:left="1551" w:right="0" w:hanging="328"/>
        <w:jc w:val="both"/>
        <w:rPr>
          <w:rFonts w:ascii="Calibri" w:eastAsia="Calibri"/>
          <w:sz w:val="21"/>
        </w:rPr>
      </w:pPr>
      <w:r>
        <w:rPr>
          <w:spacing w:val="-2"/>
          <w:sz w:val="21"/>
        </w:rPr>
        <w:t>多标段投标</w:t>
      </w:r>
    </w:p>
    <w:p w14:paraId="5FCD0EEB">
      <w:pPr>
        <w:spacing w:before="132"/>
        <w:ind w:left="1223" w:right="0" w:firstLine="0"/>
        <w:jc w:val="left"/>
        <w:rPr>
          <w:sz w:val="21"/>
        </w:rPr>
      </w:pPr>
      <w:r>
        <w:rPr>
          <w:spacing w:val="-1"/>
          <w:sz w:val="21"/>
        </w:rPr>
        <w:t>多标段投标规定：见投标人须知前附表。</w:t>
      </w:r>
    </w:p>
    <w:p w14:paraId="0E75AA9E">
      <w:pPr>
        <w:pStyle w:val="82"/>
        <w:numPr>
          <w:ilvl w:val="1"/>
          <w:numId w:val="3"/>
        </w:numPr>
        <w:tabs>
          <w:tab w:val="left" w:pos="1551"/>
        </w:tabs>
        <w:spacing w:before="118" w:after="0" w:line="240" w:lineRule="auto"/>
        <w:ind w:left="1551" w:right="0" w:hanging="328"/>
        <w:jc w:val="left"/>
        <w:rPr>
          <w:rFonts w:ascii="Calibri" w:eastAsia="Calibri"/>
          <w:sz w:val="21"/>
        </w:rPr>
      </w:pPr>
      <w:r>
        <w:rPr>
          <w:spacing w:val="-1"/>
          <w:sz w:val="21"/>
        </w:rPr>
        <w:t>评标办法中的有关系数的取值</w:t>
      </w:r>
    </w:p>
    <w:p w14:paraId="7BFFDB8A">
      <w:pPr>
        <w:pStyle w:val="82"/>
        <w:numPr>
          <w:ilvl w:val="2"/>
          <w:numId w:val="3"/>
        </w:numPr>
        <w:tabs>
          <w:tab w:val="left" w:pos="1744"/>
        </w:tabs>
        <w:spacing w:before="117" w:after="0" w:line="355" w:lineRule="auto"/>
        <w:ind w:left="802" w:right="880" w:firstLine="420"/>
        <w:jc w:val="left"/>
        <w:rPr>
          <w:sz w:val="21"/>
        </w:rPr>
      </w:pPr>
      <w:r>
        <w:rPr>
          <w:sz w:val="21"/>
        </w:rPr>
        <w:t>第三章评标办法前附表中“小微企业报价优惠</w:t>
      </w:r>
      <w:r>
        <w:rPr>
          <w:rFonts w:ascii="Calibri" w:hAnsi="Calibri" w:eastAsia="Calibri"/>
          <w:sz w:val="21"/>
        </w:rPr>
        <w:t>(</w:t>
      </w:r>
      <w:r>
        <w:rPr>
          <w:sz w:val="21"/>
        </w:rPr>
        <w:t>扣除</w:t>
      </w:r>
      <w:r>
        <w:rPr>
          <w:rFonts w:ascii="Calibri" w:hAnsi="Calibri" w:eastAsia="Calibri"/>
          <w:sz w:val="21"/>
        </w:rPr>
        <w:t>)</w:t>
      </w:r>
      <w:r>
        <w:rPr>
          <w:spacing w:val="-5"/>
          <w:sz w:val="21"/>
        </w:rPr>
        <w:t xml:space="preserve">系数” </w:t>
      </w:r>
      <w:r>
        <w:rPr>
          <w:rFonts w:ascii="Calibri" w:hAnsi="Calibri" w:eastAsia="Calibri"/>
          <w:sz w:val="21"/>
        </w:rPr>
        <w:t>P</w:t>
      </w:r>
      <w:r>
        <w:rPr>
          <w:rFonts w:ascii="Calibri" w:hAnsi="Calibri" w:eastAsia="Calibri"/>
          <w:spacing w:val="24"/>
          <w:sz w:val="21"/>
        </w:rPr>
        <w:t xml:space="preserve"> </w:t>
      </w:r>
      <w:r>
        <w:rPr>
          <w:sz w:val="21"/>
        </w:rPr>
        <w:t>的取值：见投标人</w:t>
      </w:r>
      <w:r>
        <w:rPr>
          <w:spacing w:val="-2"/>
          <w:sz w:val="21"/>
        </w:rPr>
        <w:t>须知前附表。</w:t>
      </w:r>
    </w:p>
    <w:p w14:paraId="291B5F97">
      <w:pPr>
        <w:pStyle w:val="82"/>
        <w:numPr>
          <w:ilvl w:val="2"/>
          <w:numId w:val="3"/>
        </w:numPr>
        <w:tabs>
          <w:tab w:val="left" w:pos="1714"/>
        </w:tabs>
        <w:spacing w:before="0" w:after="0" w:line="261" w:lineRule="exact"/>
        <w:ind w:left="1714" w:right="0" w:hanging="491"/>
        <w:jc w:val="left"/>
        <w:rPr>
          <w:sz w:val="21"/>
        </w:rPr>
      </w:pPr>
      <w:r>
        <w:rPr>
          <w:spacing w:val="-2"/>
          <w:sz w:val="21"/>
        </w:rPr>
        <w:t>第三章评标办法前附表中“满足条件的联合体或者分包企业报价优惠</w:t>
      </w:r>
      <w:r>
        <w:rPr>
          <w:rFonts w:ascii="Calibri" w:hAnsi="Calibri" w:eastAsia="Calibri"/>
          <w:spacing w:val="-2"/>
          <w:sz w:val="21"/>
        </w:rPr>
        <w:t>(</w:t>
      </w:r>
      <w:r>
        <w:rPr>
          <w:spacing w:val="-2"/>
          <w:sz w:val="21"/>
        </w:rPr>
        <w:t>扣除</w:t>
      </w:r>
      <w:r>
        <w:rPr>
          <w:rFonts w:ascii="Calibri" w:hAnsi="Calibri" w:eastAsia="Calibri"/>
          <w:spacing w:val="-2"/>
          <w:sz w:val="21"/>
        </w:rPr>
        <w:t>)</w:t>
      </w:r>
      <w:r>
        <w:rPr>
          <w:spacing w:val="-5"/>
          <w:sz w:val="21"/>
        </w:rPr>
        <w:t>系数”</w:t>
      </w:r>
    </w:p>
    <w:p w14:paraId="5C3350EA">
      <w:pPr>
        <w:spacing w:before="132"/>
        <w:ind w:left="802" w:right="0" w:firstLine="0"/>
        <w:jc w:val="left"/>
        <w:rPr>
          <w:sz w:val="21"/>
        </w:rPr>
      </w:pPr>
      <w:r>
        <w:rPr>
          <w:rFonts w:ascii="Calibri" w:eastAsia="Calibri"/>
          <w:sz w:val="21"/>
        </w:rPr>
        <w:t>Q</w:t>
      </w:r>
      <w:r>
        <w:rPr>
          <w:rFonts w:ascii="Calibri" w:eastAsia="Calibri"/>
          <w:spacing w:val="5"/>
          <w:sz w:val="21"/>
        </w:rPr>
        <w:t xml:space="preserve"> </w:t>
      </w:r>
      <w:r>
        <w:rPr>
          <w:spacing w:val="-1"/>
          <w:sz w:val="21"/>
        </w:rPr>
        <w:t>的取值：见投标人须知前附表。</w:t>
      </w:r>
    </w:p>
    <w:p w14:paraId="2590B2EF">
      <w:pPr>
        <w:pStyle w:val="82"/>
        <w:numPr>
          <w:ilvl w:val="1"/>
          <w:numId w:val="3"/>
        </w:numPr>
        <w:tabs>
          <w:tab w:val="left" w:pos="1552"/>
        </w:tabs>
        <w:spacing w:before="147" w:after="0" w:line="240" w:lineRule="auto"/>
        <w:ind w:left="1552" w:right="0" w:hanging="329"/>
        <w:jc w:val="both"/>
        <w:rPr>
          <w:rFonts w:ascii="Calibri" w:eastAsia="Calibri"/>
          <w:sz w:val="21"/>
        </w:rPr>
      </w:pPr>
      <w:r>
        <w:rPr>
          <w:spacing w:val="-2"/>
          <w:sz w:val="21"/>
        </w:rPr>
        <w:t>招标代理服务费</w:t>
      </w:r>
    </w:p>
    <w:p w14:paraId="13B784E1">
      <w:pPr>
        <w:spacing w:after="0" w:line="240" w:lineRule="auto"/>
        <w:jc w:val="both"/>
        <w:rPr>
          <w:rFonts w:ascii="Calibri" w:eastAsia="Calibri"/>
          <w:sz w:val="21"/>
        </w:rPr>
        <w:sectPr>
          <w:pgSz w:w="11910" w:h="16850"/>
          <w:pgMar w:top="1540" w:right="920" w:bottom="1060" w:left="1000" w:header="0" w:footer="866" w:gutter="0"/>
          <w:cols w:space="720" w:num="1"/>
        </w:sectPr>
      </w:pPr>
    </w:p>
    <w:p w14:paraId="214D0E61">
      <w:pPr>
        <w:spacing w:before="52"/>
        <w:ind w:left="1223" w:right="0" w:firstLine="0"/>
        <w:jc w:val="left"/>
        <w:rPr>
          <w:sz w:val="21"/>
        </w:rPr>
      </w:pPr>
      <w:r>
        <w:rPr>
          <w:spacing w:val="-1"/>
          <w:sz w:val="21"/>
        </w:rPr>
        <w:t>招标代理服务费收取约定：见投标人须知前附表。</w:t>
      </w:r>
    </w:p>
    <w:p w14:paraId="685074D0">
      <w:pPr>
        <w:pStyle w:val="82"/>
        <w:numPr>
          <w:ilvl w:val="1"/>
          <w:numId w:val="3"/>
        </w:numPr>
        <w:tabs>
          <w:tab w:val="left" w:pos="1552"/>
        </w:tabs>
        <w:spacing w:before="133" w:after="0" w:line="240" w:lineRule="auto"/>
        <w:ind w:left="1552" w:right="0" w:hanging="329"/>
        <w:jc w:val="left"/>
        <w:rPr>
          <w:rFonts w:ascii="Calibri" w:eastAsia="Calibri"/>
          <w:sz w:val="21"/>
        </w:rPr>
      </w:pPr>
      <w:r>
        <w:rPr>
          <w:spacing w:val="-1"/>
          <w:sz w:val="21"/>
        </w:rPr>
        <w:t>政府采购合同融资政策</w:t>
      </w:r>
    </w:p>
    <w:p w14:paraId="001EB6AA">
      <w:pPr>
        <w:spacing w:before="117"/>
        <w:ind w:left="1223" w:right="0" w:firstLine="0"/>
        <w:jc w:val="left"/>
        <w:rPr>
          <w:sz w:val="21"/>
        </w:rPr>
      </w:pPr>
      <w:r>
        <w:rPr>
          <w:spacing w:val="-1"/>
          <w:sz w:val="21"/>
        </w:rPr>
        <w:t>政府采购合同融资政策：见投标人须知前附表。</w:t>
      </w:r>
    </w:p>
    <w:p w14:paraId="79F8668D">
      <w:pPr>
        <w:pStyle w:val="82"/>
        <w:numPr>
          <w:ilvl w:val="1"/>
          <w:numId w:val="3"/>
        </w:numPr>
        <w:tabs>
          <w:tab w:val="left" w:pos="1552"/>
        </w:tabs>
        <w:spacing w:before="132" w:after="0" w:line="357" w:lineRule="auto"/>
        <w:ind w:left="1223" w:right="6331" w:firstLine="0"/>
        <w:jc w:val="left"/>
        <w:rPr>
          <w:rFonts w:ascii="Calibri" w:eastAsia="Calibri"/>
          <w:sz w:val="21"/>
        </w:rPr>
      </w:pPr>
      <w:r>
        <w:rPr>
          <w:spacing w:val="-2"/>
          <w:sz w:val="21"/>
        </w:rPr>
        <w:t>招标人补充的其他内容见投标人须知前附表。</w:t>
      </w:r>
    </w:p>
    <w:p w14:paraId="734F71A0">
      <w:pPr>
        <w:spacing w:after="0" w:line="357" w:lineRule="auto"/>
        <w:jc w:val="left"/>
        <w:rPr>
          <w:rFonts w:ascii="Calibri" w:eastAsia="Calibri"/>
          <w:sz w:val="21"/>
        </w:rPr>
        <w:sectPr>
          <w:pgSz w:w="11910" w:h="16850"/>
          <w:pgMar w:top="1500" w:right="920" w:bottom="1060" w:left="1000" w:header="0" w:footer="866" w:gutter="0"/>
          <w:cols w:space="720" w:num="1"/>
        </w:sectPr>
      </w:pPr>
    </w:p>
    <w:p w14:paraId="0BFA3DA4">
      <w:pPr>
        <w:spacing w:before="5" w:line="392" w:lineRule="exact"/>
        <w:ind w:left="1223" w:right="0" w:firstLine="0"/>
        <w:jc w:val="left"/>
      </w:pPr>
      <w:bookmarkStart w:id="233" w:name="附录一：投标人资质条件、能力和信誉"/>
      <w:bookmarkEnd w:id="233"/>
      <w:bookmarkStart w:id="234" w:name="_bookmark14"/>
      <w:bookmarkEnd w:id="234"/>
      <w:r>
        <w:rPr>
          <w:rFonts w:ascii="微软雅黑" w:eastAsia="微软雅黑"/>
          <w:b/>
          <w:spacing w:val="-1"/>
          <w:sz w:val="24"/>
        </w:rPr>
        <w:t>附录一：投标人资质条件、能力和信誉</w:t>
      </w:r>
    </w:p>
    <w:p w14:paraId="06F7B620">
      <w:pPr>
        <w:spacing w:before="5" w:line="392" w:lineRule="exact"/>
        <w:ind w:left="1223" w:right="0" w:firstLine="0"/>
        <w:jc w:val="left"/>
      </w:pPr>
    </w:p>
    <w:p w14:paraId="42DAD010">
      <w:pPr>
        <w:spacing w:line="360" w:lineRule="auto"/>
        <w:ind w:firstLine="420"/>
        <w:rPr>
          <w:sz w:val="24"/>
          <w:szCs w:val="24"/>
          <w:highlight w:val="none"/>
        </w:rPr>
      </w:pPr>
      <w:r>
        <w:rPr>
          <w:rFonts w:hint="eastAsia"/>
          <w:sz w:val="24"/>
          <w:szCs w:val="24"/>
          <w:highlight w:val="none"/>
          <w:lang w:val="en-US" w:eastAsia="zh-CN"/>
        </w:rPr>
        <w:t>通山至武宁高速公路</w:t>
      </w:r>
      <w:r>
        <w:rPr>
          <w:sz w:val="24"/>
          <w:szCs w:val="24"/>
          <w:highlight w:val="none"/>
        </w:rPr>
        <w:t>（项目名称）</w:t>
      </w:r>
      <w:r>
        <w:rPr>
          <w:rFonts w:hint="eastAsia"/>
          <w:color w:val="0000FF"/>
          <w:sz w:val="24"/>
          <w:szCs w:val="24"/>
          <w:highlight w:val="none"/>
          <w:lang w:val="en-US" w:eastAsia="zh-CN"/>
        </w:rPr>
        <w:t>TW</w:t>
      </w:r>
      <w:r>
        <w:rPr>
          <w:rFonts w:hint="eastAsia"/>
          <w:color w:val="0000FF"/>
          <w:sz w:val="24"/>
          <w:szCs w:val="24"/>
          <w:highlight w:val="none"/>
          <w:lang w:eastAsia="zh-CN"/>
        </w:rPr>
        <w:t>BPJC-1标段</w:t>
      </w:r>
      <w:r>
        <w:rPr>
          <w:sz w:val="24"/>
          <w:szCs w:val="24"/>
          <w:highlight w:val="none"/>
        </w:rPr>
        <w:t>（标段名称）</w:t>
      </w:r>
      <w:r>
        <w:rPr>
          <w:rFonts w:hint="eastAsia"/>
          <w:color w:val="0000FF"/>
          <w:sz w:val="24"/>
          <w:szCs w:val="24"/>
          <w:highlight w:val="none"/>
          <w:lang w:eastAsia="zh-CN"/>
        </w:rPr>
        <w:t>试运营期高边坡监测服务</w:t>
      </w:r>
      <w:r>
        <w:rPr>
          <w:sz w:val="24"/>
          <w:szCs w:val="24"/>
          <w:highlight w:val="none"/>
        </w:rPr>
        <w:t>（服务名称）</w:t>
      </w:r>
    </w:p>
    <w:tbl>
      <w:tblPr>
        <w:tblStyle w:val="24"/>
        <w:tblW w:w="0" w:type="auto"/>
        <w:tblInd w:w="6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1"/>
        <w:gridCol w:w="1277"/>
        <w:gridCol w:w="5272"/>
        <w:gridCol w:w="1368"/>
      </w:tblGrid>
      <w:tr w14:paraId="6CBBA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01" w:type="dxa"/>
          </w:tcPr>
          <w:p w14:paraId="4FB3FA3E">
            <w:pPr>
              <w:pStyle w:val="37"/>
              <w:spacing w:line="430" w:lineRule="atLeast"/>
              <w:ind w:left="188" w:right="187"/>
              <w:rPr>
                <w:rFonts w:ascii="微软雅黑" w:eastAsia="微软雅黑"/>
                <w:b/>
                <w:sz w:val="21"/>
              </w:rPr>
            </w:pPr>
            <w:r>
              <w:rPr>
                <w:rFonts w:ascii="微软雅黑" w:eastAsia="微软雅黑"/>
                <w:b/>
                <w:spacing w:val="-10"/>
                <w:sz w:val="21"/>
              </w:rPr>
              <w:t>序号</w:t>
            </w:r>
          </w:p>
        </w:tc>
        <w:tc>
          <w:tcPr>
            <w:tcW w:w="1277" w:type="dxa"/>
          </w:tcPr>
          <w:p w14:paraId="45506967">
            <w:pPr>
              <w:pStyle w:val="37"/>
              <w:spacing w:before="47"/>
              <w:rPr>
                <w:sz w:val="21"/>
              </w:rPr>
            </w:pPr>
          </w:p>
          <w:p w14:paraId="3216D373">
            <w:pPr>
              <w:pStyle w:val="37"/>
              <w:ind w:left="15"/>
              <w:jc w:val="center"/>
              <w:rPr>
                <w:rFonts w:ascii="微软雅黑" w:eastAsia="微软雅黑"/>
                <w:b/>
                <w:sz w:val="21"/>
              </w:rPr>
            </w:pPr>
            <w:r>
              <w:rPr>
                <w:rFonts w:ascii="微软雅黑" w:eastAsia="微软雅黑"/>
                <w:b/>
                <w:spacing w:val="10"/>
                <w:sz w:val="21"/>
              </w:rPr>
              <w:t>项目</w:t>
            </w:r>
          </w:p>
        </w:tc>
        <w:tc>
          <w:tcPr>
            <w:tcW w:w="5272" w:type="dxa"/>
          </w:tcPr>
          <w:p w14:paraId="4CF54A95">
            <w:pPr>
              <w:pStyle w:val="37"/>
              <w:spacing w:before="47"/>
              <w:rPr>
                <w:sz w:val="21"/>
              </w:rPr>
            </w:pPr>
          </w:p>
          <w:p w14:paraId="59ADFCC2">
            <w:pPr>
              <w:pStyle w:val="37"/>
              <w:ind w:left="14"/>
              <w:jc w:val="center"/>
              <w:rPr>
                <w:rFonts w:ascii="微软雅黑" w:eastAsia="微软雅黑"/>
                <w:b/>
                <w:sz w:val="21"/>
              </w:rPr>
            </w:pPr>
            <w:r>
              <w:rPr>
                <w:rFonts w:ascii="微软雅黑" w:eastAsia="微软雅黑"/>
                <w:b/>
                <w:spacing w:val="10"/>
                <w:sz w:val="21"/>
              </w:rPr>
              <w:t>要求</w:t>
            </w:r>
          </w:p>
        </w:tc>
        <w:tc>
          <w:tcPr>
            <w:tcW w:w="1368" w:type="dxa"/>
          </w:tcPr>
          <w:p w14:paraId="6054A4DE">
            <w:pPr>
              <w:pStyle w:val="37"/>
              <w:spacing w:before="47"/>
              <w:rPr>
                <w:sz w:val="21"/>
              </w:rPr>
            </w:pPr>
          </w:p>
          <w:p w14:paraId="7347B1BB">
            <w:pPr>
              <w:pStyle w:val="37"/>
              <w:ind w:left="472"/>
              <w:rPr>
                <w:rFonts w:ascii="微软雅黑" w:eastAsia="微软雅黑"/>
                <w:b/>
                <w:sz w:val="21"/>
              </w:rPr>
            </w:pPr>
            <w:r>
              <w:rPr>
                <w:rFonts w:ascii="微软雅黑" w:eastAsia="微软雅黑"/>
                <w:b/>
                <w:spacing w:val="10"/>
                <w:sz w:val="21"/>
              </w:rPr>
              <w:t>备注</w:t>
            </w:r>
          </w:p>
        </w:tc>
      </w:tr>
      <w:tr w14:paraId="581A5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01" w:type="dxa"/>
          </w:tcPr>
          <w:p w14:paraId="483BFF7F">
            <w:pPr>
              <w:pStyle w:val="37"/>
              <w:spacing w:before="160" w:line="255" w:lineRule="exact"/>
              <w:ind w:left="16"/>
              <w:jc w:val="center"/>
              <w:rPr>
                <w:rFonts w:ascii="Calibri"/>
                <w:sz w:val="21"/>
              </w:rPr>
            </w:pPr>
            <w:r>
              <w:rPr>
                <w:rFonts w:ascii="Calibri"/>
                <w:spacing w:val="-10"/>
                <w:sz w:val="21"/>
              </w:rPr>
              <w:t>1</w:t>
            </w:r>
          </w:p>
        </w:tc>
        <w:tc>
          <w:tcPr>
            <w:tcW w:w="1277" w:type="dxa"/>
          </w:tcPr>
          <w:p w14:paraId="065A73CF">
            <w:pPr>
              <w:pStyle w:val="37"/>
              <w:spacing w:before="146" w:line="269" w:lineRule="exact"/>
              <w:ind w:left="15"/>
              <w:jc w:val="center"/>
              <w:rPr>
                <w:sz w:val="21"/>
              </w:rPr>
            </w:pPr>
            <w:r>
              <w:rPr>
                <w:spacing w:val="-3"/>
                <w:sz w:val="21"/>
              </w:rPr>
              <w:t>资质要求</w:t>
            </w:r>
          </w:p>
        </w:tc>
        <w:tc>
          <w:tcPr>
            <w:tcW w:w="5272" w:type="dxa"/>
          </w:tcPr>
          <w:p w14:paraId="25D952A1">
            <w:pPr>
              <w:pStyle w:val="37"/>
              <w:spacing w:before="146" w:line="269" w:lineRule="exact"/>
              <w:ind w:left="14" w:right="14"/>
              <w:jc w:val="center"/>
              <w:rPr>
                <w:rFonts w:ascii="Calibri" w:eastAsia="Calibri"/>
                <w:sz w:val="21"/>
              </w:rPr>
            </w:pPr>
            <w:r>
              <w:rPr>
                <w:color w:val="0000FF"/>
                <w:spacing w:val="-6"/>
                <w:sz w:val="21"/>
              </w:rPr>
              <w:t xml:space="preserve">详见招标公告附录 </w:t>
            </w:r>
            <w:r>
              <w:rPr>
                <w:rFonts w:ascii="Calibri" w:eastAsia="Calibri"/>
                <w:color w:val="0000FF"/>
                <w:spacing w:val="-10"/>
                <w:sz w:val="21"/>
              </w:rPr>
              <w:t>1</w:t>
            </w:r>
          </w:p>
        </w:tc>
        <w:tc>
          <w:tcPr>
            <w:tcW w:w="1368" w:type="dxa"/>
          </w:tcPr>
          <w:p w14:paraId="4DD6A429">
            <w:pPr>
              <w:pStyle w:val="37"/>
              <w:jc w:val="center"/>
              <w:rPr>
                <w:rFonts w:hint="eastAsia" w:ascii="Times New Roman" w:eastAsia="宋体"/>
                <w:sz w:val="20"/>
                <w:lang w:val="en-US" w:eastAsia="zh-CN"/>
              </w:rPr>
            </w:pPr>
            <w:r>
              <w:rPr>
                <w:rFonts w:hint="eastAsia"/>
                <w:sz w:val="20"/>
                <w:lang w:val="en-US" w:eastAsia="zh-CN"/>
              </w:rPr>
              <w:t>/</w:t>
            </w:r>
          </w:p>
        </w:tc>
      </w:tr>
      <w:tr w14:paraId="0E940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01" w:type="dxa"/>
          </w:tcPr>
          <w:p w14:paraId="14C068DE">
            <w:pPr>
              <w:pStyle w:val="37"/>
              <w:spacing w:before="160" w:line="255" w:lineRule="exact"/>
              <w:ind w:left="16"/>
              <w:jc w:val="center"/>
              <w:rPr>
                <w:rFonts w:ascii="Calibri"/>
                <w:sz w:val="21"/>
              </w:rPr>
            </w:pPr>
            <w:r>
              <w:rPr>
                <w:rFonts w:ascii="Calibri"/>
                <w:spacing w:val="-10"/>
                <w:sz w:val="21"/>
              </w:rPr>
              <w:t>2</w:t>
            </w:r>
          </w:p>
        </w:tc>
        <w:tc>
          <w:tcPr>
            <w:tcW w:w="1277" w:type="dxa"/>
          </w:tcPr>
          <w:p w14:paraId="43830708">
            <w:pPr>
              <w:pStyle w:val="37"/>
              <w:spacing w:before="146" w:line="269" w:lineRule="exact"/>
              <w:ind w:left="15"/>
              <w:jc w:val="center"/>
              <w:rPr>
                <w:sz w:val="21"/>
              </w:rPr>
            </w:pPr>
            <w:r>
              <w:rPr>
                <w:spacing w:val="-3"/>
                <w:sz w:val="21"/>
              </w:rPr>
              <w:t>财务要求</w:t>
            </w:r>
          </w:p>
        </w:tc>
        <w:tc>
          <w:tcPr>
            <w:tcW w:w="5272" w:type="dxa"/>
          </w:tcPr>
          <w:p w14:paraId="60558C2A">
            <w:pPr>
              <w:pStyle w:val="37"/>
              <w:spacing w:before="160" w:line="255" w:lineRule="exact"/>
              <w:ind w:left="14" w:right="9"/>
              <w:jc w:val="center"/>
              <w:rPr>
                <w:rFonts w:ascii="Calibri"/>
                <w:sz w:val="21"/>
              </w:rPr>
            </w:pPr>
            <w:r>
              <w:rPr>
                <w:rFonts w:ascii="Calibri"/>
                <w:color w:val="0000FF"/>
                <w:spacing w:val="-10"/>
                <w:sz w:val="21"/>
              </w:rPr>
              <w:t>/</w:t>
            </w:r>
          </w:p>
        </w:tc>
        <w:tc>
          <w:tcPr>
            <w:tcW w:w="1368" w:type="dxa"/>
          </w:tcPr>
          <w:p w14:paraId="47A5BB01">
            <w:pPr>
              <w:pStyle w:val="37"/>
              <w:jc w:val="center"/>
              <w:rPr>
                <w:rFonts w:hint="eastAsia" w:ascii="Times New Roman" w:eastAsia="宋体"/>
                <w:sz w:val="20"/>
                <w:lang w:val="en-US" w:eastAsia="zh-CN"/>
              </w:rPr>
            </w:pPr>
            <w:r>
              <w:rPr>
                <w:rFonts w:hint="eastAsia"/>
                <w:sz w:val="20"/>
                <w:lang w:val="en-US" w:eastAsia="zh-CN"/>
              </w:rPr>
              <w:t>/</w:t>
            </w:r>
          </w:p>
        </w:tc>
      </w:tr>
      <w:tr w14:paraId="0F1BF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01" w:type="dxa"/>
          </w:tcPr>
          <w:p w14:paraId="4A5C2F12">
            <w:pPr>
              <w:pStyle w:val="37"/>
              <w:spacing w:before="160" w:line="255" w:lineRule="exact"/>
              <w:ind w:left="16"/>
              <w:jc w:val="center"/>
              <w:rPr>
                <w:rFonts w:ascii="Calibri"/>
                <w:sz w:val="21"/>
              </w:rPr>
            </w:pPr>
            <w:r>
              <w:rPr>
                <w:rFonts w:ascii="Calibri"/>
                <w:spacing w:val="-10"/>
                <w:sz w:val="21"/>
              </w:rPr>
              <w:t>3</w:t>
            </w:r>
          </w:p>
        </w:tc>
        <w:tc>
          <w:tcPr>
            <w:tcW w:w="1277" w:type="dxa"/>
          </w:tcPr>
          <w:p w14:paraId="6A0C190D">
            <w:pPr>
              <w:pStyle w:val="37"/>
              <w:spacing w:before="146" w:line="269" w:lineRule="exact"/>
              <w:ind w:left="15"/>
              <w:jc w:val="center"/>
              <w:rPr>
                <w:sz w:val="21"/>
              </w:rPr>
            </w:pPr>
            <w:r>
              <w:rPr>
                <w:spacing w:val="-3"/>
                <w:sz w:val="21"/>
              </w:rPr>
              <w:t>业绩要求</w:t>
            </w:r>
          </w:p>
        </w:tc>
        <w:tc>
          <w:tcPr>
            <w:tcW w:w="5272" w:type="dxa"/>
          </w:tcPr>
          <w:p w14:paraId="05D20D17">
            <w:pPr>
              <w:pStyle w:val="37"/>
              <w:spacing w:before="146" w:line="269" w:lineRule="exact"/>
              <w:ind w:left="14" w:right="14"/>
              <w:jc w:val="center"/>
              <w:rPr>
                <w:rFonts w:ascii="Calibri" w:eastAsia="Calibri"/>
                <w:sz w:val="21"/>
              </w:rPr>
            </w:pPr>
            <w:r>
              <w:rPr>
                <w:color w:val="0000FF"/>
                <w:spacing w:val="-6"/>
                <w:sz w:val="21"/>
              </w:rPr>
              <w:t xml:space="preserve">详见招标公告附录 </w:t>
            </w:r>
            <w:r>
              <w:rPr>
                <w:rFonts w:ascii="Calibri" w:eastAsia="Calibri"/>
                <w:color w:val="0000FF"/>
                <w:spacing w:val="-10"/>
                <w:sz w:val="21"/>
              </w:rPr>
              <w:t>2</w:t>
            </w:r>
          </w:p>
        </w:tc>
        <w:tc>
          <w:tcPr>
            <w:tcW w:w="1368" w:type="dxa"/>
          </w:tcPr>
          <w:p w14:paraId="3FA1E859">
            <w:pPr>
              <w:pStyle w:val="37"/>
              <w:jc w:val="center"/>
              <w:rPr>
                <w:rFonts w:hint="eastAsia" w:ascii="Times New Roman" w:eastAsia="宋体"/>
                <w:sz w:val="20"/>
                <w:lang w:val="en-US" w:eastAsia="zh-CN"/>
              </w:rPr>
            </w:pPr>
            <w:r>
              <w:rPr>
                <w:rFonts w:hint="eastAsia"/>
                <w:sz w:val="20"/>
                <w:lang w:val="en-US" w:eastAsia="zh-CN"/>
              </w:rPr>
              <w:t>/</w:t>
            </w:r>
          </w:p>
        </w:tc>
      </w:tr>
      <w:tr w14:paraId="6009A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01" w:type="dxa"/>
          </w:tcPr>
          <w:p w14:paraId="2DE3CFDE">
            <w:pPr>
              <w:pStyle w:val="37"/>
              <w:spacing w:before="160" w:line="255" w:lineRule="exact"/>
              <w:ind w:left="16"/>
              <w:jc w:val="center"/>
              <w:rPr>
                <w:rFonts w:ascii="Calibri"/>
                <w:sz w:val="21"/>
              </w:rPr>
            </w:pPr>
            <w:r>
              <w:rPr>
                <w:rFonts w:ascii="Calibri"/>
                <w:spacing w:val="-10"/>
                <w:sz w:val="21"/>
              </w:rPr>
              <w:t>4</w:t>
            </w:r>
          </w:p>
        </w:tc>
        <w:tc>
          <w:tcPr>
            <w:tcW w:w="1277" w:type="dxa"/>
          </w:tcPr>
          <w:p w14:paraId="00A9E812">
            <w:pPr>
              <w:pStyle w:val="37"/>
              <w:spacing w:before="146" w:line="269" w:lineRule="exact"/>
              <w:ind w:left="15"/>
              <w:jc w:val="center"/>
              <w:rPr>
                <w:sz w:val="21"/>
              </w:rPr>
            </w:pPr>
            <w:r>
              <w:rPr>
                <w:spacing w:val="-3"/>
                <w:sz w:val="21"/>
              </w:rPr>
              <w:t>信誉要求</w:t>
            </w:r>
          </w:p>
        </w:tc>
        <w:tc>
          <w:tcPr>
            <w:tcW w:w="5272" w:type="dxa"/>
          </w:tcPr>
          <w:p w14:paraId="6406C615">
            <w:pPr>
              <w:pStyle w:val="37"/>
              <w:spacing w:before="146" w:line="269" w:lineRule="exact"/>
              <w:ind w:left="14" w:right="14"/>
              <w:jc w:val="center"/>
              <w:rPr>
                <w:rFonts w:ascii="Calibri" w:eastAsia="Calibri"/>
                <w:sz w:val="21"/>
              </w:rPr>
            </w:pPr>
            <w:r>
              <w:rPr>
                <w:color w:val="0000FF"/>
                <w:spacing w:val="-6"/>
                <w:sz w:val="21"/>
              </w:rPr>
              <w:t xml:space="preserve">详见招标公告附录 </w:t>
            </w:r>
            <w:r>
              <w:rPr>
                <w:rFonts w:ascii="Calibri" w:eastAsia="Calibri"/>
                <w:color w:val="0000FF"/>
                <w:spacing w:val="-10"/>
                <w:sz w:val="21"/>
              </w:rPr>
              <w:t>4</w:t>
            </w:r>
          </w:p>
        </w:tc>
        <w:tc>
          <w:tcPr>
            <w:tcW w:w="1368" w:type="dxa"/>
          </w:tcPr>
          <w:p w14:paraId="6E6946DA">
            <w:pPr>
              <w:pStyle w:val="37"/>
              <w:jc w:val="center"/>
              <w:rPr>
                <w:rFonts w:hint="eastAsia" w:ascii="Times New Roman" w:eastAsia="宋体"/>
                <w:sz w:val="20"/>
                <w:lang w:val="en-US" w:eastAsia="zh-CN"/>
              </w:rPr>
            </w:pPr>
            <w:r>
              <w:rPr>
                <w:rFonts w:hint="eastAsia"/>
                <w:sz w:val="20"/>
                <w:lang w:val="en-US" w:eastAsia="zh-CN"/>
              </w:rPr>
              <w:t>/</w:t>
            </w:r>
          </w:p>
        </w:tc>
      </w:tr>
      <w:tr w14:paraId="246FD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601" w:type="dxa"/>
          </w:tcPr>
          <w:p w14:paraId="0E5A74C7">
            <w:pPr>
              <w:pStyle w:val="37"/>
              <w:spacing w:before="112"/>
              <w:rPr>
                <w:sz w:val="21"/>
              </w:rPr>
            </w:pPr>
          </w:p>
          <w:p w14:paraId="7527EB39">
            <w:pPr>
              <w:pStyle w:val="37"/>
              <w:ind w:left="16"/>
              <w:jc w:val="center"/>
              <w:rPr>
                <w:rFonts w:ascii="Calibri"/>
                <w:sz w:val="21"/>
              </w:rPr>
            </w:pPr>
            <w:r>
              <w:rPr>
                <w:rFonts w:ascii="Calibri"/>
                <w:spacing w:val="-10"/>
                <w:sz w:val="21"/>
              </w:rPr>
              <w:t>5</w:t>
            </w:r>
          </w:p>
        </w:tc>
        <w:tc>
          <w:tcPr>
            <w:tcW w:w="1277" w:type="dxa"/>
          </w:tcPr>
          <w:p w14:paraId="76E4857E">
            <w:pPr>
              <w:pStyle w:val="37"/>
              <w:spacing w:line="436" w:lineRule="exact"/>
              <w:ind w:left="112" w:right="96"/>
              <w:rPr>
                <w:sz w:val="21"/>
              </w:rPr>
            </w:pPr>
            <w:r>
              <w:rPr>
                <w:spacing w:val="-2"/>
                <w:sz w:val="21"/>
              </w:rPr>
              <w:t>项目负责人的资格要求</w:t>
            </w:r>
          </w:p>
        </w:tc>
        <w:tc>
          <w:tcPr>
            <w:tcW w:w="5272" w:type="dxa"/>
          </w:tcPr>
          <w:p w14:paraId="6A3DDCD7">
            <w:pPr>
              <w:pStyle w:val="37"/>
              <w:spacing w:before="98"/>
              <w:rPr>
                <w:sz w:val="21"/>
              </w:rPr>
            </w:pPr>
          </w:p>
          <w:p w14:paraId="74638572">
            <w:pPr>
              <w:pStyle w:val="37"/>
              <w:ind w:left="14" w:right="14"/>
              <w:jc w:val="center"/>
              <w:rPr>
                <w:rFonts w:ascii="Calibri" w:eastAsia="Calibri"/>
                <w:sz w:val="21"/>
              </w:rPr>
            </w:pPr>
            <w:r>
              <w:rPr>
                <w:color w:val="0000FF"/>
                <w:spacing w:val="-6"/>
                <w:sz w:val="21"/>
              </w:rPr>
              <w:t xml:space="preserve">详见招标公告附录 </w:t>
            </w:r>
            <w:r>
              <w:rPr>
                <w:rFonts w:ascii="Calibri" w:eastAsia="Calibri"/>
                <w:color w:val="0000FF"/>
                <w:spacing w:val="-10"/>
                <w:sz w:val="21"/>
              </w:rPr>
              <w:t>3</w:t>
            </w:r>
          </w:p>
        </w:tc>
        <w:tc>
          <w:tcPr>
            <w:tcW w:w="1368" w:type="dxa"/>
          </w:tcPr>
          <w:p w14:paraId="51BA099E">
            <w:pPr>
              <w:pStyle w:val="37"/>
              <w:jc w:val="center"/>
              <w:rPr>
                <w:rFonts w:hint="eastAsia" w:ascii="Times New Roman" w:eastAsia="宋体"/>
                <w:sz w:val="20"/>
                <w:lang w:val="en-US" w:eastAsia="zh-CN"/>
              </w:rPr>
            </w:pPr>
            <w:r>
              <w:rPr>
                <w:rFonts w:hint="eastAsia"/>
                <w:sz w:val="20"/>
                <w:lang w:val="en-US" w:eastAsia="zh-CN"/>
              </w:rPr>
              <w:t>/</w:t>
            </w:r>
          </w:p>
        </w:tc>
      </w:tr>
      <w:tr w14:paraId="7905F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1" w:hRule="atLeast"/>
        </w:trPr>
        <w:tc>
          <w:tcPr>
            <w:tcW w:w="601" w:type="dxa"/>
          </w:tcPr>
          <w:p w14:paraId="38899756">
            <w:pPr>
              <w:pStyle w:val="37"/>
              <w:spacing w:before="97"/>
              <w:rPr>
                <w:sz w:val="21"/>
              </w:rPr>
            </w:pPr>
          </w:p>
          <w:p w14:paraId="1B199AAD">
            <w:pPr>
              <w:pStyle w:val="37"/>
              <w:ind w:left="16"/>
              <w:jc w:val="center"/>
              <w:rPr>
                <w:rFonts w:ascii="Calibri"/>
                <w:sz w:val="21"/>
              </w:rPr>
            </w:pPr>
            <w:r>
              <w:rPr>
                <w:rFonts w:ascii="Calibri"/>
                <w:spacing w:val="-10"/>
                <w:sz w:val="21"/>
              </w:rPr>
              <w:t>6</w:t>
            </w:r>
          </w:p>
        </w:tc>
        <w:tc>
          <w:tcPr>
            <w:tcW w:w="1277" w:type="dxa"/>
          </w:tcPr>
          <w:p w14:paraId="134DD379">
            <w:pPr>
              <w:pStyle w:val="37"/>
              <w:spacing w:before="131"/>
              <w:ind w:left="15"/>
              <w:jc w:val="center"/>
              <w:rPr>
                <w:sz w:val="21"/>
              </w:rPr>
            </w:pPr>
            <w:r>
              <w:rPr>
                <w:spacing w:val="-2"/>
                <w:sz w:val="21"/>
              </w:rPr>
              <w:t>其他主要人</w:t>
            </w:r>
          </w:p>
          <w:p w14:paraId="054C08F7">
            <w:pPr>
              <w:pStyle w:val="37"/>
              <w:spacing w:before="178" w:line="269" w:lineRule="exact"/>
              <w:ind w:left="15"/>
              <w:jc w:val="center"/>
              <w:rPr>
                <w:sz w:val="21"/>
              </w:rPr>
            </w:pPr>
            <w:r>
              <w:rPr>
                <w:spacing w:val="-4"/>
                <w:sz w:val="21"/>
              </w:rPr>
              <w:t>员要求</w:t>
            </w:r>
          </w:p>
        </w:tc>
        <w:tc>
          <w:tcPr>
            <w:tcW w:w="5272" w:type="dxa"/>
          </w:tcPr>
          <w:p w14:paraId="1D877421">
            <w:pPr>
              <w:pStyle w:val="37"/>
              <w:spacing w:before="98"/>
              <w:rPr>
                <w:sz w:val="21"/>
              </w:rPr>
            </w:pPr>
          </w:p>
          <w:p w14:paraId="7C4DBC28">
            <w:pPr>
              <w:pStyle w:val="37"/>
              <w:ind w:left="14" w:right="9"/>
              <w:jc w:val="center"/>
              <w:rPr>
                <w:rFonts w:ascii="Calibri"/>
                <w:sz w:val="21"/>
              </w:rPr>
            </w:pPr>
            <w:r>
              <w:rPr>
                <w:color w:val="0000FF"/>
                <w:spacing w:val="-6"/>
                <w:sz w:val="21"/>
              </w:rPr>
              <w:t xml:space="preserve">详见招标公告附录 </w:t>
            </w:r>
            <w:r>
              <w:rPr>
                <w:rFonts w:ascii="Calibri" w:eastAsia="Calibri"/>
                <w:color w:val="0000FF"/>
                <w:spacing w:val="-10"/>
                <w:sz w:val="21"/>
              </w:rPr>
              <w:t>3</w:t>
            </w:r>
          </w:p>
        </w:tc>
        <w:tc>
          <w:tcPr>
            <w:tcW w:w="1368" w:type="dxa"/>
          </w:tcPr>
          <w:p w14:paraId="180F2BA5">
            <w:pPr>
              <w:pStyle w:val="37"/>
              <w:jc w:val="center"/>
              <w:rPr>
                <w:rFonts w:hint="eastAsia" w:ascii="Times New Roman" w:eastAsia="宋体"/>
                <w:sz w:val="20"/>
                <w:lang w:val="en-US" w:eastAsia="zh-CN"/>
              </w:rPr>
            </w:pPr>
            <w:r>
              <w:rPr>
                <w:rFonts w:hint="eastAsia"/>
                <w:sz w:val="20"/>
                <w:lang w:val="en-US" w:eastAsia="zh-CN"/>
              </w:rPr>
              <w:t>/</w:t>
            </w:r>
          </w:p>
        </w:tc>
      </w:tr>
      <w:tr w14:paraId="0D030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0" w:hRule="atLeast"/>
        </w:trPr>
        <w:tc>
          <w:tcPr>
            <w:tcW w:w="601" w:type="dxa"/>
          </w:tcPr>
          <w:p w14:paraId="05F2D5A8">
            <w:pPr>
              <w:pStyle w:val="37"/>
              <w:rPr>
                <w:sz w:val="21"/>
              </w:rPr>
            </w:pPr>
          </w:p>
          <w:p w14:paraId="2F3FE140">
            <w:pPr>
              <w:pStyle w:val="37"/>
              <w:rPr>
                <w:sz w:val="21"/>
              </w:rPr>
            </w:pPr>
          </w:p>
          <w:p w14:paraId="47FBC194">
            <w:pPr>
              <w:pStyle w:val="37"/>
              <w:rPr>
                <w:sz w:val="21"/>
              </w:rPr>
            </w:pPr>
          </w:p>
          <w:p w14:paraId="38C0E756">
            <w:pPr>
              <w:pStyle w:val="37"/>
              <w:rPr>
                <w:sz w:val="21"/>
              </w:rPr>
            </w:pPr>
          </w:p>
          <w:p w14:paraId="119EFAC4">
            <w:pPr>
              <w:pStyle w:val="37"/>
              <w:rPr>
                <w:sz w:val="21"/>
              </w:rPr>
            </w:pPr>
          </w:p>
          <w:p w14:paraId="2C14673D">
            <w:pPr>
              <w:pStyle w:val="37"/>
              <w:rPr>
                <w:sz w:val="21"/>
              </w:rPr>
            </w:pPr>
          </w:p>
          <w:p w14:paraId="0CB826EB">
            <w:pPr>
              <w:pStyle w:val="37"/>
              <w:rPr>
                <w:sz w:val="21"/>
              </w:rPr>
            </w:pPr>
          </w:p>
          <w:p w14:paraId="1FE148C4">
            <w:pPr>
              <w:pStyle w:val="37"/>
              <w:rPr>
                <w:sz w:val="21"/>
              </w:rPr>
            </w:pPr>
          </w:p>
          <w:p w14:paraId="1CB94B38">
            <w:pPr>
              <w:pStyle w:val="37"/>
              <w:rPr>
                <w:sz w:val="21"/>
              </w:rPr>
            </w:pPr>
          </w:p>
          <w:p w14:paraId="7F424177">
            <w:pPr>
              <w:pStyle w:val="37"/>
              <w:spacing w:before="72"/>
              <w:rPr>
                <w:sz w:val="21"/>
              </w:rPr>
            </w:pPr>
          </w:p>
          <w:p w14:paraId="1597477B">
            <w:pPr>
              <w:pStyle w:val="37"/>
              <w:ind w:left="16"/>
              <w:jc w:val="center"/>
              <w:rPr>
                <w:rFonts w:ascii="Calibri"/>
                <w:sz w:val="21"/>
              </w:rPr>
            </w:pPr>
            <w:r>
              <w:rPr>
                <w:rFonts w:ascii="Calibri"/>
                <w:spacing w:val="-10"/>
                <w:sz w:val="21"/>
              </w:rPr>
              <w:t>7</w:t>
            </w:r>
          </w:p>
        </w:tc>
        <w:tc>
          <w:tcPr>
            <w:tcW w:w="1277" w:type="dxa"/>
          </w:tcPr>
          <w:p w14:paraId="505BFDDB">
            <w:pPr>
              <w:pStyle w:val="37"/>
              <w:rPr>
                <w:sz w:val="21"/>
              </w:rPr>
            </w:pPr>
          </w:p>
          <w:p w14:paraId="71272731">
            <w:pPr>
              <w:pStyle w:val="37"/>
              <w:rPr>
                <w:sz w:val="21"/>
              </w:rPr>
            </w:pPr>
          </w:p>
          <w:p w14:paraId="0156537D">
            <w:pPr>
              <w:pStyle w:val="37"/>
              <w:rPr>
                <w:sz w:val="21"/>
              </w:rPr>
            </w:pPr>
          </w:p>
          <w:p w14:paraId="526289D3">
            <w:pPr>
              <w:pStyle w:val="37"/>
              <w:rPr>
                <w:sz w:val="21"/>
              </w:rPr>
            </w:pPr>
          </w:p>
          <w:p w14:paraId="00D2E020">
            <w:pPr>
              <w:pStyle w:val="37"/>
              <w:rPr>
                <w:sz w:val="21"/>
              </w:rPr>
            </w:pPr>
          </w:p>
          <w:p w14:paraId="7F6739BE">
            <w:pPr>
              <w:pStyle w:val="37"/>
              <w:rPr>
                <w:sz w:val="21"/>
              </w:rPr>
            </w:pPr>
          </w:p>
          <w:p w14:paraId="35F00171">
            <w:pPr>
              <w:pStyle w:val="37"/>
              <w:rPr>
                <w:sz w:val="21"/>
              </w:rPr>
            </w:pPr>
          </w:p>
          <w:p w14:paraId="11B133AB">
            <w:pPr>
              <w:pStyle w:val="37"/>
              <w:rPr>
                <w:sz w:val="21"/>
              </w:rPr>
            </w:pPr>
          </w:p>
          <w:p w14:paraId="651EFF24">
            <w:pPr>
              <w:pStyle w:val="37"/>
              <w:rPr>
                <w:sz w:val="21"/>
              </w:rPr>
            </w:pPr>
          </w:p>
          <w:p w14:paraId="3EA2B93F">
            <w:pPr>
              <w:pStyle w:val="37"/>
              <w:spacing w:before="58"/>
              <w:rPr>
                <w:sz w:val="21"/>
              </w:rPr>
            </w:pPr>
          </w:p>
          <w:p w14:paraId="7D012757">
            <w:pPr>
              <w:pStyle w:val="37"/>
              <w:ind w:left="15"/>
              <w:jc w:val="center"/>
              <w:rPr>
                <w:sz w:val="21"/>
              </w:rPr>
            </w:pPr>
            <w:r>
              <w:rPr>
                <w:spacing w:val="-3"/>
                <w:sz w:val="21"/>
              </w:rPr>
              <w:t>其他要求</w:t>
            </w:r>
          </w:p>
        </w:tc>
        <w:tc>
          <w:tcPr>
            <w:tcW w:w="5272" w:type="dxa"/>
          </w:tcPr>
          <w:p w14:paraId="76850EFD">
            <w:pPr>
              <w:pStyle w:val="37"/>
              <w:spacing w:line="268" w:lineRule="exact"/>
              <w:ind w:left="112"/>
              <w:rPr>
                <w:sz w:val="21"/>
              </w:rPr>
            </w:pPr>
            <w:r>
              <w:rPr>
                <w:spacing w:val="-1"/>
                <w:sz w:val="21"/>
              </w:rPr>
              <w:t>政府采购特别资格要求：</w:t>
            </w:r>
          </w:p>
          <w:p w14:paraId="56B88B55">
            <w:pPr>
              <w:pStyle w:val="37"/>
              <w:spacing w:line="270" w:lineRule="exact"/>
              <w:ind w:left="112"/>
              <w:rPr>
                <w:sz w:val="21"/>
              </w:rPr>
            </w:pPr>
            <w:r>
              <w:rPr>
                <w:color w:val="0000FF"/>
                <w:spacing w:val="-2"/>
                <w:sz w:val="21"/>
              </w:rPr>
              <w:t>□</w:t>
            </w:r>
            <w:r>
              <w:rPr>
                <w:spacing w:val="-3"/>
                <w:sz w:val="21"/>
              </w:rPr>
              <w:t>采购项目整体预留专门面向中小企业采购。</w:t>
            </w:r>
          </w:p>
          <w:p w14:paraId="76D8291A">
            <w:pPr>
              <w:pStyle w:val="37"/>
              <w:spacing w:line="270" w:lineRule="exact"/>
              <w:ind w:left="112"/>
              <w:rPr>
                <w:sz w:val="21"/>
              </w:rPr>
            </w:pPr>
            <w:r>
              <w:rPr>
                <w:color w:val="0000FF"/>
                <w:sz w:val="21"/>
              </w:rPr>
              <w:t>□</w:t>
            </w:r>
            <w:r>
              <w:rPr>
                <w:spacing w:val="-1"/>
                <w:sz w:val="21"/>
              </w:rPr>
              <w:t>采购项目整体预留专门面向小微企业采购。</w:t>
            </w:r>
          </w:p>
          <w:p w14:paraId="30443D19">
            <w:pPr>
              <w:pStyle w:val="37"/>
              <w:spacing w:line="270" w:lineRule="exact"/>
              <w:ind w:left="112"/>
              <w:rPr>
                <w:sz w:val="21"/>
              </w:rPr>
            </w:pPr>
            <w:r>
              <w:rPr>
                <w:color w:val="0000FF"/>
                <w:sz w:val="21"/>
              </w:rPr>
              <w:t>□</w:t>
            </w:r>
            <w:r>
              <w:rPr>
                <w:spacing w:val="-1"/>
                <w:sz w:val="21"/>
              </w:rPr>
              <w:t>采购项目部分预留专门面向中小企业采购。</w:t>
            </w:r>
          </w:p>
          <w:p w14:paraId="24B0A8F1">
            <w:pPr>
              <w:pStyle w:val="37"/>
              <w:ind w:left="112" w:right="78"/>
              <w:jc w:val="both"/>
              <w:rPr>
                <w:sz w:val="21"/>
              </w:rPr>
            </w:pPr>
            <w:r>
              <w:rPr>
                <w:spacing w:val="-2"/>
                <w:sz w:val="21"/>
              </w:rPr>
              <w:t>要求大企业与中小企业组成联合体的形式参加投标，且</w:t>
            </w:r>
            <w:r>
              <w:rPr>
                <w:sz w:val="21"/>
              </w:rPr>
              <w:t>联合体中中小企业承担的部分达到项目合同总金额的</w:t>
            </w:r>
            <w:r>
              <w:rPr>
                <w:rFonts w:ascii="Calibri" w:eastAsia="Calibri"/>
                <w:sz w:val="21"/>
              </w:rPr>
              <w:t>%</w:t>
            </w:r>
            <w:r>
              <w:rPr>
                <w:sz w:val="21"/>
              </w:rPr>
              <w:t>以上，其中小微企业承担的比例不低于</w:t>
            </w:r>
            <w:r>
              <w:rPr>
                <w:rFonts w:ascii="Calibri" w:eastAsia="Calibri"/>
                <w:sz w:val="21"/>
              </w:rPr>
              <w:t>%</w:t>
            </w:r>
            <w:r>
              <w:rPr>
                <w:sz w:val="21"/>
              </w:rPr>
              <w:t>。组成联合体</w:t>
            </w:r>
            <w:r>
              <w:rPr>
                <w:spacing w:val="1"/>
                <w:sz w:val="21"/>
              </w:rPr>
              <w:t>的中小企业与联合体内其他企业之间不得存在直接控</w:t>
            </w:r>
            <w:r>
              <w:rPr>
                <w:spacing w:val="-2"/>
                <w:sz w:val="21"/>
              </w:rPr>
              <w:t>股、管理关系</w:t>
            </w:r>
            <w:r>
              <w:rPr>
                <w:spacing w:val="-150"/>
                <w:sz w:val="21"/>
              </w:rPr>
              <w:t>。</w:t>
            </w:r>
            <w:r>
              <w:rPr>
                <w:spacing w:val="-2"/>
                <w:sz w:val="21"/>
              </w:rPr>
              <w:t>（前述比例由招标人根据项目的具体情况</w:t>
            </w:r>
            <w:r>
              <w:rPr>
                <w:spacing w:val="-4"/>
                <w:sz w:val="21"/>
              </w:rPr>
              <w:t>约定）</w:t>
            </w:r>
          </w:p>
          <w:p w14:paraId="66D38C68">
            <w:pPr>
              <w:pStyle w:val="37"/>
              <w:spacing w:line="270" w:lineRule="exact"/>
              <w:ind w:left="112"/>
              <w:rPr>
                <w:sz w:val="21"/>
              </w:rPr>
            </w:pPr>
            <w:r>
              <w:rPr>
                <w:color w:val="0000FF"/>
                <w:sz w:val="21"/>
              </w:rPr>
              <w:t>□</w:t>
            </w:r>
            <w:r>
              <w:rPr>
                <w:spacing w:val="-1"/>
                <w:sz w:val="21"/>
              </w:rPr>
              <w:t>采购项目部分预留专门面向中小企业采购。</w:t>
            </w:r>
          </w:p>
          <w:p w14:paraId="43FC087A">
            <w:pPr>
              <w:pStyle w:val="37"/>
              <w:ind w:left="112" w:right="78"/>
              <w:jc w:val="both"/>
              <w:rPr>
                <w:sz w:val="21"/>
              </w:rPr>
            </w:pPr>
            <w:r>
              <w:rPr>
                <w:spacing w:val="-2"/>
                <w:sz w:val="21"/>
              </w:rPr>
              <w:t>要求大企业向中小企业分包的形式参加投标，且接受分</w:t>
            </w:r>
            <w:r>
              <w:rPr>
                <w:spacing w:val="9"/>
                <w:sz w:val="21"/>
              </w:rPr>
              <w:t>包的中小企业承担的部分达到项目合同总金额的</w:t>
            </w:r>
            <w:r>
              <w:rPr>
                <w:rFonts w:ascii="Calibri" w:eastAsia="Calibri"/>
                <w:spacing w:val="13"/>
                <w:sz w:val="21"/>
              </w:rPr>
              <w:t>%</w:t>
            </w:r>
            <w:r>
              <w:rPr>
                <w:sz w:val="21"/>
              </w:rPr>
              <w:t>以上，其中接受分包的小微企业承担的比例不低于</w:t>
            </w:r>
            <w:r>
              <w:rPr>
                <w:rFonts w:ascii="Calibri" w:eastAsia="Calibri"/>
                <w:sz w:val="21"/>
              </w:rPr>
              <w:t>%</w:t>
            </w:r>
            <w:r>
              <w:rPr>
                <w:sz w:val="21"/>
              </w:rPr>
              <w:t>。接</w:t>
            </w:r>
            <w:r>
              <w:rPr>
                <w:spacing w:val="-2"/>
                <w:sz w:val="21"/>
              </w:rPr>
              <w:t>受分包合同的中小企业与分包企业之间不得存在直接控股、管理关系</w:t>
            </w:r>
            <w:r>
              <w:rPr>
                <w:spacing w:val="-150"/>
                <w:sz w:val="21"/>
              </w:rPr>
              <w:t>。</w:t>
            </w:r>
            <w:r>
              <w:rPr>
                <w:spacing w:val="-2"/>
                <w:sz w:val="21"/>
              </w:rPr>
              <w:t>（前述比例由招标人根据项目的具体情况</w:t>
            </w:r>
            <w:r>
              <w:rPr>
                <w:spacing w:val="-4"/>
                <w:sz w:val="21"/>
              </w:rPr>
              <w:t>约定）</w:t>
            </w:r>
          </w:p>
          <w:p w14:paraId="6BD3B64D">
            <w:pPr>
              <w:pStyle w:val="37"/>
              <w:spacing w:line="270" w:lineRule="exact"/>
              <w:ind w:left="112"/>
              <w:rPr>
                <w:sz w:val="21"/>
              </w:rPr>
            </w:pPr>
            <w:r>
              <w:rPr>
                <w:rFonts w:ascii="Segoe UI Symbol" w:hAnsi="Segoe UI Symbol" w:eastAsia="Segoe UI Symbol"/>
                <w:color w:val="0000FF"/>
                <w:spacing w:val="-4"/>
                <w:sz w:val="21"/>
              </w:rPr>
              <w:t>☑</w:t>
            </w:r>
            <w:r>
              <w:rPr>
                <w:spacing w:val="-5"/>
                <w:sz w:val="21"/>
              </w:rPr>
              <w:t>采购项目未预留份额专门面向中小企业采购。</w:t>
            </w:r>
          </w:p>
          <w:p w14:paraId="5B506CBB">
            <w:pPr>
              <w:pStyle w:val="37"/>
              <w:spacing w:line="271" w:lineRule="exact"/>
              <w:ind w:left="112"/>
              <w:rPr>
                <w:sz w:val="21"/>
              </w:rPr>
            </w:pPr>
            <w:r>
              <w:rPr>
                <w:color w:val="0000FF"/>
                <w:spacing w:val="-2"/>
                <w:sz w:val="21"/>
              </w:rPr>
              <w:t>□</w:t>
            </w:r>
            <w:r>
              <w:rPr>
                <w:spacing w:val="-2"/>
                <w:sz w:val="21"/>
              </w:rPr>
              <w:t>不接受</w:t>
            </w:r>
            <w:r>
              <w:rPr>
                <w:color w:val="0000FF"/>
                <w:spacing w:val="-2"/>
                <w:sz w:val="21"/>
              </w:rPr>
              <w:t>□</w:t>
            </w:r>
            <w:r>
              <w:rPr>
                <w:spacing w:val="-3"/>
                <w:sz w:val="21"/>
              </w:rPr>
              <w:t>接受大中型企业与小微企业组成联合体。</w:t>
            </w:r>
          </w:p>
          <w:p w14:paraId="1EDD37D9">
            <w:pPr>
              <w:pStyle w:val="37"/>
              <w:spacing w:line="270" w:lineRule="exact"/>
              <w:ind w:left="112" w:right="92"/>
              <w:rPr>
                <w:sz w:val="21"/>
              </w:rPr>
            </w:pPr>
            <w:r>
              <w:rPr>
                <w:color w:val="0000FF"/>
                <w:spacing w:val="-2"/>
                <w:sz w:val="21"/>
              </w:rPr>
              <w:t>□</w:t>
            </w:r>
            <w:r>
              <w:rPr>
                <w:spacing w:val="-2"/>
                <w:sz w:val="21"/>
              </w:rPr>
              <w:t>不允许</w:t>
            </w:r>
            <w:r>
              <w:rPr>
                <w:color w:val="0000FF"/>
                <w:spacing w:val="-2"/>
                <w:sz w:val="21"/>
              </w:rPr>
              <w:t>□</w:t>
            </w:r>
            <w:r>
              <w:rPr>
                <w:spacing w:val="-2"/>
                <w:sz w:val="21"/>
              </w:rPr>
              <w:t>允许大中型企业向一家或者多家小微企业分</w:t>
            </w:r>
            <w:r>
              <w:rPr>
                <w:spacing w:val="-6"/>
                <w:sz w:val="21"/>
              </w:rPr>
              <w:t>包。</w:t>
            </w:r>
          </w:p>
        </w:tc>
        <w:tc>
          <w:tcPr>
            <w:tcW w:w="1368" w:type="dxa"/>
          </w:tcPr>
          <w:p w14:paraId="7258D2C1">
            <w:pPr>
              <w:pStyle w:val="37"/>
              <w:rPr>
                <w:rFonts w:ascii="Times New Roman"/>
                <w:sz w:val="20"/>
              </w:rPr>
            </w:pPr>
          </w:p>
        </w:tc>
      </w:tr>
    </w:tbl>
    <w:p w14:paraId="3DE12187">
      <w:pPr>
        <w:spacing w:before="0" w:line="271" w:lineRule="exact"/>
        <w:ind w:left="1223" w:right="0" w:firstLine="0"/>
        <w:jc w:val="left"/>
        <w:rPr>
          <w:sz w:val="21"/>
        </w:rPr>
      </w:pPr>
      <w:r>
        <w:rPr>
          <w:spacing w:val="-4"/>
          <w:sz w:val="21"/>
        </w:rPr>
        <w:t>备注：</w:t>
      </w:r>
    </w:p>
    <w:p w14:paraId="7C06B434">
      <w:pPr>
        <w:pStyle w:val="82"/>
        <w:numPr>
          <w:ilvl w:val="0"/>
          <w:numId w:val="16"/>
        </w:numPr>
        <w:tabs>
          <w:tab w:val="left" w:pos="1492"/>
        </w:tabs>
        <w:spacing w:before="0" w:after="0" w:line="272" w:lineRule="exact"/>
        <w:ind w:left="1492" w:right="0" w:hanging="164"/>
        <w:jc w:val="left"/>
        <w:rPr>
          <w:sz w:val="21"/>
        </w:rPr>
      </w:pPr>
      <w:r>
        <w:rPr>
          <w:spacing w:val="-1"/>
          <w:sz w:val="21"/>
        </w:rPr>
        <w:t>国家明令取消的资质，不得设为资质条件。</w:t>
      </w:r>
    </w:p>
    <w:p w14:paraId="4A7654F3">
      <w:pPr>
        <w:pStyle w:val="82"/>
        <w:numPr>
          <w:ilvl w:val="0"/>
          <w:numId w:val="16"/>
        </w:numPr>
        <w:tabs>
          <w:tab w:val="left" w:pos="1522"/>
        </w:tabs>
        <w:spacing w:before="117" w:after="0" w:line="352" w:lineRule="auto"/>
        <w:ind w:left="1358" w:right="871" w:firstLine="0"/>
        <w:jc w:val="both"/>
        <w:rPr>
          <w:sz w:val="21"/>
        </w:rPr>
      </w:pPr>
      <w:r>
        <w:rPr>
          <w:sz w:val="21"/>
        </w:rPr>
        <w:t>如招标人将</w:t>
      </w:r>
      <w:r>
        <w:rPr>
          <w:rFonts w:ascii="Calibri" w:hAnsi="Calibri" w:eastAsia="Calibri"/>
          <w:sz w:val="21"/>
        </w:rPr>
        <w:t>“</w:t>
      </w:r>
      <w:r>
        <w:rPr>
          <w:sz w:val="21"/>
        </w:rPr>
        <w:t>其他主要人员要求</w:t>
      </w:r>
      <w:r>
        <w:rPr>
          <w:rFonts w:ascii="Calibri" w:hAnsi="Calibri" w:eastAsia="Calibri"/>
          <w:sz w:val="21"/>
        </w:rPr>
        <w:t>”</w:t>
      </w:r>
      <w:r>
        <w:rPr>
          <w:sz w:val="21"/>
        </w:rPr>
        <w:t>作为资格审查条件或者加分条件，则将相关要求填</w:t>
      </w:r>
      <w:r>
        <w:rPr>
          <w:spacing w:val="-2"/>
          <w:sz w:val="21"/>
        </w:rPr>
        <w:t>入上述表格中作为评标委员会的评标依据；如招标人拟在合同谈判期间与中标人确定</w:t>
      </w:r>
      <w:r>
        <w:rPr>
          <w:sz w:val="21"/>
        </w:rPr>
        <w:t>其他主要人员，则将</w:t>
      </w:r>
      <w:r>
        <w:rPr>
          <w:rFonts w:ascii="Calibri" w:hAnsi="Calibri" w:eastAsia="Calibri"/>
          <w:sz w:val="21"/>
        </w:rPr>
        <w:t>“</w:t>
      </w:r>
      <w:r>
        <w:rPr>
          <w:sz w:val="21"/>
        </w:rPr>
        <w:t>其他主要人员要求</w:t>
      </w:r>
      <w:r>
        <w:rPr>
          <w:rFonts w:ascii="Calibri" w:hAnsi="Calibri" w:eastAsia="Calibri"/>
          <w:sz w:val="21"/>
        </w:rPr>
        <w:t>”</w:t>
      </w:r>
      <w:r>
        <w:rPr>
          <w:sz w:val="21"/>
        </w:rPr>
        <w:t>填入第四章</w:t>
      </w:r>
      <w:r>
        <w:rPr>
          <w:rFonts w:ascii="Calibri" w:hAnsi="Calibri" w:eastAsia="Calibri"/>
          <w:sz w:val="21"/>
        </w:rPr>
        <w:t>“</w:t>
      </w:r>
      <w:r>
        <w:rPr>
          <w:sz w:val="21"/>
        </w:rPr>
        <w:t>合同条款及格式</w:t>
      </w:r>
      <w:r>
        <w:rPr>
          <w:rFonts w:ascii="Calibri" w:hAnsi="Calibri" w:eastAsia="Calibri"/>
          <w:sz w:val="21"/>
        </w:rPr>
        <w:t>”</w:t>
      </w:r>
      <w:r>
        <w:rPr>
          <w:sz w:val="21"/>
        </w:rPr>
        <w:t>中，且不作为</w:t>
      </w:r>
      <w:r>
        <w:rPr>
          <w:spacing w:val="-2"/>
          <w:sz w:val="21"/>
        </w:rPr>
        <w:t>评标委员会的评标依据。</w:t>
      </w:r>
    </w:p>
    <w:p w14:paraId="2071137D">
      <w:pPr>
        <w:pStyle w:val="82"/>
        <w:numPr>
          <w:ilvl w:val="0"/>
          <w:numId w:val="16"/>
        </w:numPr>
        <w:tabs>
          <w:tab w:val="left" w:pos="1627"/>
        </w:tabs>
        <w:spacing w:before="1" w:after="0" w:line="240" w:lineRule="auto"/>
        <w:ind w:left="1627" w:right="0" w:hanging="269"/>
        <w:jc w:val="both"/>
        <w:rPr>
          <w:sz w:val="21"/>
        </w:rPr>
      </w:pPr>
      <w:r>
        <w:rPr>
          <w:spacing w:val="-5"/>
          <w:sz w:val="21"/>
        </w:rPr>
        <w:t>政府采购与工程建设有关的服务是指国家机关、事业单位、团体组织使用财政性资</w:t>
      </w:r>
    </w:p>
    <w:p w14:paraId="7CB18947">
      <w:pPr>
        <w:spacing w:after="0" w:line="240" w:lineRule="auto"/>
        <w:jc w:val="both"/>
        <w:rPr>
          <w:sz w:val="21"/>
        </w:rPr>
        <w:sectPr>
          <w:pgSz w:w="11910" w:h="16850"/>
          <w:pgMar w:top="1460" w:right="920" w:bottom="1060" w:left="1000" w:header="0" w:footer="866" w:gutter="0"/>
          <w:cols w:space="720" w:num="1"/>
        </w:sectPr>
      </w:pPr>
    </w:p>
    <w:p w14:paraId="396A0787">
      <w:pPr>
        <w:spacing w:before="52" w:line="355" w:lineRule="auto"/>
        <w:ind w:left="1358" w:right="873" w:firstLine="0"/>
        <w:jc w:val="left"/>
        <w:rPr>
          <w:sz w:val="21"/>
        </w:rPr>
      </w:pPr>
      <w:r>
        <w:rPr>
          <w:spacing w:val="-1"/>
          <w:sz w:val="21"/>
        </w:rPr>
        <w:t>金采购为完成工程所需的勘察、设计、监理等服务。财政性资金是指纳入预算管理的</w:t>
      </w:r>
      <w:r>
        <w:rPr>
          <w:spacing w:val="-2"/>
          <w:sz w:val="21"/>
        </w:rPr>
        <w:t>资金。以财政性资金作为还款来源的借贷资金，视同财政性资金。</w:t>
      </w:r>
    </w:p>
    <w:p w14:paraId="74EA2DF8">
      <w:pPr>
        <w:spacing w:before="0" w:line="352" w:lineRule="auto"/>
        <w:ind w:left="1358" w:right="773" w:firstLine="0"/>
        <w:jc w:val="left"/>
        <w:rPr>
          <w:sz w:val="21"/>
        </w:rPr>
      </w:pPr>
      <w:r>
        <w:rPr>
          <w:spacing w:val="-2"/>
          <w:sz w:val="21"/>
        </w:rPr>
        <w:t>本招标文件所称中、小、微企业，是指在中华人民共和国境内依法设立，依据《中小</w:t>
      </w:r>
      <w:r>
        <w:rPr>
          <w:spacing w:val="-12"/>
          <w:sz w:val="21"/>
        </w:rPr>
        <w:t>企业划型标准规定》</w:t>
      </w:r>
      <w:r>
        <w:rPr>
          <w:sz w:val="21"/>
        </w:rPr>
        <w:t>（工信部联企业</w:t>
      </w:r>
      <w:r>
        <w:rPr>
          <w:rFonts w:ascii="Calibri" w:eastAsia="Calibri"/>
          <w:sz w:val="21"/>
        </w:rPr>
        <w:t xml:space="preserve">[2011]300 </w:t>
      </w:r>
      <w:r>
        <w:rPr>
          <w:sz w:val="21"/>
        </w:rPr>
        <w:t>号）确定的中型企业、小型企业和微型</w:t>
      </w:r>
      <w:r>
        <w:rPr>
          <w:spacing w:val="-4"/>
          <w:sz w:val="21"/>
        </w:rPr>
        <w:t>企业，但与大企业的负责人为同一人，或者与大企业存在直接控股、管理关系的除外。</w:t>
      </w:r>
      <w:r>
        <w:rPr>
          <w:spacing w:val="-2"/>
          <w:sz w:val="21"/>
        </w:rPr>
        <w:t>预留份额专门面向中小企业采购的项目中（包括整体预留专门面向中小企业、整体预</w:t>
      </w:r>
      <w:r>
        <w:rPr>
          <w:sz w:val="21"/>
        </w:rPr>
        <w:t>留专门面向小微企业、部分预留专门面向中小企业</w:t>
      </w:r>
      <w:r>
        <w:rPr>
          <w:spacing w:val="-105"/>
          <w:sz w:val="21"/>
        </w:rPr>
        <w:t>）</w:t>
      </w:r>
      <w:r>
        <w:rPr>
          <w:sz w:val="21"/>
        </w:rPr>
        <w:t>，部分预留专门面向中小企业采</w:t>
      </w:r>
      <w:r>
        <w:rPr>
          <w:spacing w:val="-2"/>
          <w:sz w:val="21"/>
        </w:rPr>
        <w:t>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w:t>
      </w:r>
      <w:r>
        <w:rPr>
          <w:sz w:val="21"/>
        </w:rPr>
        <w:t>方均为中小企业的，联合体视同中小企业；联合体各方均为小微企业的，联合体视同</w:t>
      </w:r>
      <w:r>
        <w:rPr>
          <w:spacing w:val="-2"/>
          <w:sz w:val="21"/>
        </w:rPr>
        <w:t>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w:t>
      </w:r>
      <w:r>
        <w:rPr>
          <w:spacing w:val="-6"/>
          <w:sz w:val="21"/>
        </w:rPr>
        <w:t>策。</w:t>
      </w:r>
    </w:p>
    <w:p w14:paraId="7A361220">
      <w:pPr>
        <w:spacing w:before="0" w:line="352" w:lineRule="auto"/>
        <w:ind w:left="1358" w:right="865" w:firstLine="0"/>
        <w:jc w:val="both"/>
        <w:rPr>
          <w:sz w:val="21"/>
        </w:rPr>
      </w:pPr>
      <w:r>
        <w:rPr>
          <w:spacing w:val="-2"/>
          <w:sz w:val="21"/>
        </w:rPr>
        <w:t>未预留份额专门面向中小企业采购的项目，对小微企业，对接受大中型企业与小微企业组成联合体或者允许大中型企业向一家或者多家小微企业分包的项目，对于联合协</w:t>
      </w:r>
      <w:r>
        <w:rPr>
          <w:spacing w:val="-3"/>
          <w:sz w:val="21"/>
        </w:rPr>
        <w:t xml:space="preserve">议或者分包意向协议约定小微企业的合同份额占到项目合同总金额 </w:t>
      </w:r>
      <w:r>
        <w:rPr>
          <w:rFonts w:ascii="Calibri" w:eastAsia="Calibri"/>
          <w:spacing w:val="-2"/>
          <w:sz w:val="21"/>
        </w:rPr>
        <w:t>30%</w:t>
      </w:r>
      <w:r>
        <w:rPr>
          <w:spacing w:val="-2"/>
          <w:sz w:val="21"/>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038130EA">
      <w:pPr>
        <w:spacing w:before="0" w:line="343" w:lineRule="auto"/>
        <w:ind w:left="1358" w:right="872" w:firstLine="0"/>
        <w:jc w:val="left"/>
        <w:rPr>
          <w:sz w:val="21"/>
        </w:rPr>
      </w:pPr>
      <w:r>
        <w:rPr>
          <w:spacing w:val="-2"/>
          <w:sz w:val="21"/>
        </w:rPr>
        <w:t>享受扶持政策获得政府采购合同的，小微企业不得将合同分包给大中型企业，中型企业不得将合同分包给大型企业。</w:t>
      </w:r>
    </w:p>
    <w:p w14:paraId="3C65D516">
      <w:pPr>
        <w:spacing w:before="0"/>
        <w:ind w:left="1358" w:right="0" w:firstLine="0"/>
        <w:jc w:val="left"/>
        <w:rPr>
          <w:sz w:val="21"/>
        </w:rPr>
      </w:pPr>
      <w:r>
        <w:rPr>
          <w:spacing w:val="-4"/>
          <w:sz w:val="21"/>
        </w:rPr>
        <w:t>具体的政策依据详见《政府采购促进中小企业发展管理办法》</w:t>
      </w:r>
      <w:r>
        <w:rPr>
          <w:sz w:val="21"/>
        </w:rPr>
        <w:t>（财库〔</w:t>
      </w:r>
      <w:r>
        <w:rPr>
          <w:rFonts w:ascii="Calibri" w:eastAsia="Calibri"/>
          <w:sz w:val="21"/>
        </w:rPr>
        <w:t>2020</w:t>
      </w:r>
      <w:r>
        <w:rPr>
          <w:sz w:val="21"/>
        </w:rPr>
        <w:t>〕</w:t>
      </w:r>
      <w:r>
        <w:rPr>
          <w:rFonts w:ascii="Calibri" w:eastAsia="Calibri"/>
          <w:sz w:val="21"/>
        </w:rPr>
        <w:t>46</w:t>
      </w:r>
      <w:r>
        <w:rPr>
          <w:rFonts w:ascii="Calibri" w:eastAsia="Calibri"/>
          <w:spacing w:val="8"/>
          <w:sz w:val="21"/>
        </w:rPr>
        <w:t xml:space="preserve"> </w:t>
      </w:r>
      <w:r>
        <w:rPr>
          <w:sz w:val="21"/>
        </w:rPr>
        <w:t>号</w:t>
      </w:r>
      <w:r>
        <w:rPr>
          <w:spacing w:val="-105"/>
          <w:sz w:val="21"/>
        </w:rPr>
        <w:t>）</w:t>
      </w:r>
      <w:r>
        <w:rPr>
          <w:spacing w:val="-10"/>
          <w:sz w:val="21"/>
        </w:rPr>
        <w:t>、</w:t>
      </w:r>
    </w:p>
    <w:p w14:paraId="12905299">
      <w:pPr>
        <w:spacing w:before="126"/>
        <w:ind w:left="1358" w:right="0" w:firstLine="0"/>
        <w:jc w:val="left"/>
        <w:rPr>
          <w:sz w:val="21"/>
        </w:rPr>
      </w:pPr>
      <w:r>
        <w:rPr>
          <w:spacing w:val="-5"/>
          <w:sz w:val="21"/>
        </w:rPr>
        <w:t>《关于进一步加大政府采购支持中小企业力度的通知》</w:t>
      </w:r>
      <w:r>
        <w:rPr>
          <w:sz w:val="21"/>
        </w:rPr>
        <w:t>（财库〔</w:t>
      </w:r>
      <w:r>
        <w:rPr>
          <w:rFonts w:ascii="Calibri" w:eastAsia="Calibri"/>
          <w:sz w:val="21"/>
        </w:rPr>
        <w:t>2022</w:t>
      </w:r>
      <w:r>
        <w:rPr>
          <w:sz w:val="21"/>
        </w:rPr>
        <w:t>〕</w:t>
      </w:r>
      <w:r>
        <w:rPr>
          <w:rFonts w:ascii="Calibri" w:eastAsia="Calibri"/>
          <w:sz w:val="21"/>
        </w:rPr>
        <w:t>19</w:t>
      </w:r>
      <w:r>
        <w:rPr>
          <w:rFonts w:ascii="Calibri" w:eastAsia="Calibri"/>
          <w:spacing w:val="-6"/>
          <w:sz w:val="21"/>
        </w:rPr>
        <w:t xml:space="preserve"> </w:t>
      </w:r>
      <w:r>
        <w:rPr>
          <w:sz w:val="21"/>
        </w:rPr>
        <w:t>号</w:t>
      </w:r>
      <w:r>
        <w:rPr>
          <w:spacing w:val="-105"/>
          <w:sz w:val="21"/>
        </w:rPr>
        <w:t>）</w:t>
      </w:r>
      <w:r>
        <w:rPr>
          <w:spacing w:val="-10"/>
          <w:sz w:val="21"/>
        </w:rPr>
        <w:t>。</w:t>
      </w:r>
    </w:p>
    <w:p w14:paraId="5A3A1400">
      <w:pPr>
        <w:spacing w:after="0"/>
        <w:jc w:val="left"/>
        <w:rPr>
          <w:sz w:val="21"/>
        </w:rPr>
        <w:sectPr>
          <w:pgSz w:w="11910" w:h="16850"/>
          <w:pgMar w:top="1500" w:right="920" w:bottom="1060" w:left="1000" w:header="0" w:footer="866" w:gutter="0"/>
          <w:cols w:space="720" w:num="1"/>
        </w:sectPr>
      </w:pPr>
    </w:p>
    <w:p w14:paraId="24FD2C74">
      <w:pPr>
        <w:spacing w:before="5"/>
        <w:ind w:left="802" w:right="0" w:firstLine="0"/>
        <w:jc w:val="left"/>
        <w:rPr>
          <w:rFonts w:ascii="微软雅黑" w:eastAsia="微软雅黑"/>
          <w:b/>
          <w:sz w:val="24"/>
        </w:rPr>
      </w:pPr>
      <w:bookmarkStart w:id="235" w:name="_bookmark15"/>
      <w:bookmarkEnd w:id="235"/>
      <w:bookmarkStart w:id="236" w:name="附录二：政府采购与工程建设有关的服务预留工作及金额"/>
      <w:bookmarkEnd w:id="236"/>
      <w:r>
        <w:rPr>
          <w:rFonts w:ascii="微软雅黑" w:eastAsia="微软雅黑"/>
          <w:b/>
          <w:spacing w:val="-1"/>
          <w:sz w:val="24"/>
        </w:rPr>
        <w:t>附录二：政府采购与工程建设有关的服务预留工作及金额</w:t>
      </w:r>
    </w:p>
    <w:p w14:paraId="3D12FDDB">
      <w:pPr>
        <w:pStyle w:val="10"/>
        <w:spacing w:before="14"/>
        <w:rPr>
          <w:rFonts w:ascii="微软雅黑"/>
          <w:b/>
          <w:sz w:val="12"/>
        </w:rPr>
      </w:pPr>
    </w:p>
    <w:tbl>
      <w:tblPr>
        <w:tblStyle w:val="24"/>
        <w:tblW w:w="0" w:type="auto"/>
        <w:tblInd w:w="6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1"/>
        <w:gridCol w:w="3199"/>
        <w:gridCol w:w="1427"/>
        <w:gridCol w:w="1336"/>
        <w:gridCol w:w="1802"/>
      </w:tblGrid>
      <w:tr w14:paraId="36ED1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751" w:type="dxa"/>
          </w:tcPr>
          <w:p w14:paraId="664D9C3A">
            <w:pPr>
              <w:pStyle w:val="37"/>
              <w:spacing w:before="266"/>
              <w:ind w:left="31"/>
              <w:jc w:val="center"/>
              <w:rPr>
                <w:sz w:val="21"/>
              </w:rPr>
            </w:pPr>
            <w:r>
              <w:rPr>
                <w:spacing w:val="-5"/>
                <w:sz w:val="21"/>
              </w:rPr>
              <w:t>序号</w:t>
            </w:r>
          </w:p>
        </w:tc>
        <w:tc>
          <w:tcPr>
            <w:tcW w:w="3199" w:type="dxa"/>
          </w:tcPr>
          <w:p w14:paraId="4ABE1C11">
            <w:pPr>
              <w:pStyle w:val="37"/>
              <w:spacing w:before="266"/>
              <w:ind w:left="18" w:right="1"/>
              <w:jc w:val="center"/>
              <w:rPr>
                <w:sz w:val="21"/>
              </w:rPr>
            </w:pPr>
            <w:r>
              <w:rPr>
                <w:spacing w:val="-2"/>
                <w:sz w:val="21"/>
              </w:rPr>
              <w:t>预留工作内容名称</w:t>
            </w:r>
          </w:p>
        </w:tc>
        <w:tc>
          <w:tcPr>
            <w:tcW w:w="1427" w:type="dxa"/>
          </w:tcPr>
          <w:p w14:paraId="58C3DFFC">
            <w:pPr>
              <w:pStyle w:val="37"/>
              <w:spacing w:line="254" w:lineRule="exact"/>
              <w:ind w:left="16"/>
              <w:jc w:val="center"/>
              <w:rPr>
                <w:sz w:val="21"/>
              </w:rPr>
            </w:pPr>
            <w:r>
              <w:rPr>
                <w:spacing w:val="-3"/>
                <w:sz w:val="21"/>
              </w:rPr>
              <w:t>预留工作</w:t>
            </w:r>
          </w:p>
          <w:p w14:paraId="59C6B412">
            <w:pPr>
              <w:pStyle w:val="37"/>
              <w:spacing w:before="12" w:line="271" w:lineRule="exact"/>
              <w:ind w:left="16"/>
              <w:jc w:val="center"/>
              <w:rPr>
                <w:sz w:val="21"/>
              </w:rPr>
            </w:pPr>
            <w:r>
              <w:rPr>
                <w:spacing w:val="-2"/>
                <w:sz w:val="21"/>
              </w:rPr>
              <w:t>合同估算价</w:t>
            </w:r>
          </w:p>
          <w:p w14:paraId="305767F0">
            <w:pPr>
              <w:pStyle w:val="37"/>
              <w:spacing w:line="252" w:lineRule="exact"/>
              <w:ind w:left="16"/>
              <w:jc w:val="center"/>
              <w:rPr>
                <w:sz w:val="21"/>
              </w:rPr>
            </w:pPr>
            <w:r>
              <w:rPr>
                <w:sz w:val="21"/>
              </w:rPr>
              <w:t>（万元</w:t>
            </w:r>
            <w:r>
              <w:rPr>
                <w:spacing w:val="-10"/>
                <w:sz w:val="21"/>
              </w:rPr>
              <w:t>）</w:t>
            </w:r>
          </w:p>
        </w:tc>
        <w:tc>
          <w:tcPr>
            <w:tcW w:w="1336" w:type="dxa"/>
          </w:tcPr>
          <w:p w14:paraId="0C01A661">
            <w:pPr>
              <w:pStyle w:val="37"/>
              <w:spacing w:line="254" w:lineRule="exact"/>
              <w:ind w:left="17" w:right="1"/>
              <w:jc w:val="center"/>
              <w:rPr>
                <w:sz w:val="21"/>
              </w:rPr>
            </w:pPr>
            <w:r>
              <w:rPr>
                <w:spacing w:val="-2"/>
                <w:sz w:val="21"/>
              </w:rPr>
              <w:t>预留合同估</w:t>
            </w:r>
          </w:p>
          <w:p w14:paraId="4B17B8C2">
            <w:pPr>
              <w:pStyle w:val="37"/>
              <w:spacing w:before="12" w:line="271" w:lineRule="exact"/>
              <w:ind w:left="17"/>
              <w:jc w:val="center"/>
              <w:rPr>
                <w:sz w:val="21"/>
              </w:rPr>
            </w:pPr>
            <w:r>
              <w:rPr>
                <w:spacing w:val="-3"/>
                <w:sz w:val="21"/>
              </w:rPr>
              <w:t>算价占比</w:t>
            </w:r>
          </w:p>
          <w:p w14:paraId="3E296DED">
            <w:pPr>
              <w:pStyle w:val="37"/>
              <w:spacing w:line="252" w:lineRule="exact"/>
              <w:ind w:left="17" w:right="1"/>
              <w:jc w:val="center"/>
              <w:rPr>
                <w:sz w:val="21"/>
              </w:rPr>
            </w:pPr>
            <w:r>
              <w:rPr>
                <w:spacing w:val="-5"/>
                <w:sz w:val="21"/>
              </w:rPr>
              <w:t>（％）</w:t>
            </w:r>
          </w:p>
        </w:tc>
        <w:tc>
          <w:tcPr>
            <w:tcW w:w="1802" w:type="dxa"/>
          </w:tcPr>
          <w:p w14:paraId="42EEF012">
            <w:pPr>
              <w:pStyle w:val="37"/>
              <w:spacing w:before="266"/>
              <w:ind w:left="32"/>
              <w:jc w:val="center"/>
              <w:rPr>
                <w:sz w:val="21"/>
              </w:rPr>
            </w:pPr>
            <w:r>
              <w:rPr>
                <w:spacing w:val="-5"/>
                <w:sz w:val="21"/>
              </w:rPr>
              <w:t>备注</w:t>
            </w:r>
          </w:p>
        </w:tc>
      </w:tr>
      <w:tr w14:paraId="61D34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423E133B">
            <w:pPr>
              <w:pStyle w:val="37"/>
              <w:spacing w:before="86"/>
              <w:ind w:left="31" w:right="1"/>
              <w:jc w:val="center"/>
              <w:rPr>
                <w:sz w:val="21"/>
              </w:rPr>
            </w:pPr>
            <w:r>
              <w:rPr>
                <w:spacing w:val="-10"/>
                <w:sz w:val="21"/>
              </w:rPr>
              <w:t>１</w:t>
            </w:r>
          </w:p>
        </w:tc>
        <w:tc>
          <w:tcPr>
            <w:tcW w:w="3199" w:type="dxa"/>
          </w:tcPr>
          <w:p w14:paraId="42540A40">
            <w:pPr>
              <w:pStyle w:val="37"/>
              <w:rPr>
                <w:rFonts w:ascii="Times New Roman"/>
                <w:sz w:val="20"/>
              </w:rPr>
            </w:pPr>
          </w:p>
        </w:tc>
        <w:tc>
          <w:tcPr>
            <w:tcW w:w="1427" w:type="dxa"/>
          </w:tcPr>
          <w:p w14:paraId="0CA69E09">
            <w:pPr>
              <w:pStyle w:val="37"/>
              <w:rPr>
                <w:rFonts w:ascii="Times New Roman"/>
                <w:sz w:val="20"/>
              </w:rPr>
            </w:pPr>
          </w:p>
        </w:tc>
        <w:tc>
          <w:tcPr>
            <w:tcW w:w="1336" w:type="dxa"/>
          </w:tcPr>
          <w:p w14:paraId="4F3F5507">
            <w:pPr>
              <w:pStyle w:val="37"/>
              <w:rPr>
                <w:rFonts w:ascii="Times New Roman"/>
                <w:sz w:val="20"/>
              </w:rPr>
            </w:pPr>
          </w:p>
        </w:tc>
        <w:tc>
          <w:tcPr>
            <w:tcW w:w="1802" w:type="dxa"/>
          </w:tcPr>
          <w:p w14:paraId="14985309">
            <w:pPr>
              <w:pStyle w:val="37"/>
              <w:rPr>
                <w:rFonts w:ascii="Times New Roman"/>
                <w:sz w:val="20"/>
              </w:rPr>
            </w:pPr>
          </w:p>
        </w:tc>
      </w:tr>
      <w:tr w14:paraId="3DB6B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07F7AB2F">
            <w:pPr>
              <w:pStyle w:val="37"/>
              <w:spacing w:before="86"/>
              <w:ind w:left="31" w:right="1"/>
              <w:jc w:val="center"/>
              <w:rPr>
                <w:sz w:val="21"/>
              </w:rPr>
            </w:pPr>
            <w:r>
              <w:rPr>
                <w:spacing w:val="-10"/>
                <w:sz w:val="21"/>
              </w:rPr>
              <w:t>２</w:t>
            </w:r>
          </w:p>
        </w:tc>
        <w:tc>
          <w:tcPr>
            <w:tcW w:w="3199" w:type="dxa"/>
          </w:tcPr>
          <w:p w14:paraId="6BBEFE55">
            <w:pPr>
              <w:pStyle w:val="37"/>
              <w:rPr>
                <w:rFonts w:ascii="Times New Roman"/>
                <w:sz w:val="20"/>
              </w:rPr>
            </w:pPr>
          </w:p>
        </w:tc>
        <w:tc>
          <w:tcPr>
            <w:tcW w:w="1427" w:type="dxa"/>
          </w:tcPr>
          <w:p w14:paraId="42BA3042">
            <w:pPr>
              <w:pStyle w:val="37"/>
              <w:rPr>
                <w:rFonts w:ascii="Times New Roman"/>
                <w:sz w:val="20"/>
              </w:rPr>
            </w:pPr>
          </w:p>
        </w:tc>
        <w:tc>
          <w:tcPr>
            <w:tcW w:w="1336" w:type="dxa"/>
          </w:tcPr>
          <w:p w14:paraId="0D766161">
            <w:pPr>
              <w:pStyle w:val="37"/>
              <w:rPr>
                <w:rFonts w:ascii="Times New Roman"/>
                <w:sz w:val="20"/>
              </w:rPr>
            </w:pPr>
          </w:p>
        </w:tc>
        <w:tc>
          <w:tcPr>
            <w:tcW w:w="1802" w:type="dxa"/>
          </w:tcPr>
          <w:p w14:paraId="1A2D8A94">
            <w:pPr>
              <w:pStyle w:val="37"/>
              <w:rPr>
                <w:rFonts w:ascii="Times New Roman"/>
                <w:sz w:val="20"/>
              </w:rPr>
            </w:pPr>
          </w:p>
        </w:tc>
      </w:tr>
      <w:tr w14:paraId="7225A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5E4BB55B">
            <w:pPr>
              <w:pStyle w:val="37"/>
              <w:spacing w:before="71"/>
              <w:ind w:left="31" w:right="1"/>
              <w:jc w:val="center"/>
              <w:rPr>
                <w:sz w:val="21"/>
              </w:rPr>
            </w:pPr>
            <w:r>
              <w:rPr>
                <w:spacing w:val="-10"/>
                <w:sz w:val="21"/>
              </w:rPr>
              <w:t>３</w:t>
            </w:r>
          </w:p>
        </w:tc>
        <w:tc>
          <w:tcPr>
            <w:tcW w:w="3199" w:type="dxa"/>
          </w:tcPr>
          <w:p w14:paraId="199C1AAE">
            <w:pPr>
              <w:pStyle w:val="37"/>
              <w:rPr>
                <w:rFonts w:ascii="Times New Roman"/>
                <w:sz w:val="20"/>
              </w:rPr>
            </w:pPr>
          </w:p>
        </w:tc>
        <w:tc>
          <w:tcPr>
            <w:tcW w:w="1427" w:type="dxa"/>
          </w:tcPr>
          <w:p w14:paraId="3166C44A">
            <w:pPr>
              <w:pStyle w:val="37"/>
              <w:rPr>
                <w:rFonts w:ascii="Times New Roman"/>
                <w:sz w:val="20"/>
              </w:rPr>
            </w:pPr>
          </w:p>
        </w:tc>
        <w:tc>
          <w:tcPr>
            <w:tcW w:w="1336" w:type="dxa"/>
          </w:tcPr>
          <w:p w14:paraId="0CA5D554">
            <w:pPr>
              <w:pStyle w:val="37"/>
              <w:rPr>
                <w:rFonts w:ascii="Times New Roman"/>
                <w:sz w:val="20"/>
              </w:rPr>
            </w:pPr>
          </w:p>
        </w:tc>
        <w:tc>
          <w:tcPr>
            <w:tcW w:w="1802" w:type="dxa"/>
          </w:tcPr>
          <w:p w14:paraId="5770DE0D">
            <w:pPr>
              <w:pStyle w:val="37"/>
              <w:rPr>
                <w:rFonts w:ascii="Times New Roman"/>
                <w:sz w:val="20"/>
              </w:rPr>
            </w:pPr>
          </w:p>
        </w:tc>
      </w:tr>
      <w:tr w14:paraId="575C6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6AD6849D">
            <w:pPr>
              <w:pStyle w:val="37"/>
              <w:spacing w:before="71"/>
              <w:ind w:left="31" w:right="1"/>
              <w:jc w:val="center"/>
              <w:rPr>
                <w:sz w:val="21"/>
              </w:rPr>
            </w:pPr>
            <w:r>
              <w:rPr>
                <w:spacing w:val="-10"/>
                <w:sz w:val="21"/>
              </w:rPr>
              <w:t>４</w:t>
            </w:r>
          </w:p>
        </w:tc>
        <w:tc>
          <w:tcPr>
            <w:tcW w:w="3199" w:type="dxa"/>
          </w:tcPr>
          <w:p w14:paraId="78F5144C">
            <w:pPr>
              <w:pStyle w:val="37"/>
              <w:rPr>
                <w:rFonts w:ascii="Times New Roman"/>
                <w:sz w:val="20"/>
              </w:rPr>
            </w:pPr>
          </w:p>
        </w:tc>
        <w:tc>
          <w:tcPr>
            <w:tcW w:w="1427" w:type="dxa"/>
          </w:tcPr>
          <w:p w14:paraId="0154CA89">
            <w:pPr>
              <w:pStyle w:val="37"/>
              <w:rPr>
                <w:rFonts w:ascii="Times New Roman"/>
                <w:sz w:val="20"/>
              </w:rPr>
            </w:pPr>
          </w:p>
        </w:tc>
        <w:tc>
          <w:tcPr>
            <w:tcW w:w="1336" w:type="dxa"/>
          </w:tcPr>
          <w:p w14:paraId="21ED95E1">
            <w:pPr>
              <w:pStyle w:val="37"/>
              <w:rPr>
                <w:rFonts w:ascii="Times New Roman"/>
                <w:sz w:val="20"/>
              </w:rPr>
            </w:pPr>
          </w:p>
        </w:tc>
        <w:tc>
          <w:tcPr>
            <w:tcW w:w="1802" w:type="dxa"/>
          </w:tcPr>
          <w:p w14:paraId="7BA41E19">
            <w:pPr>
              <w:pStyle w:val="37"/>
              <w:rPr>
                <w:rFonts w:ascii="Times New Roman"/>
                <w:sz w:val="20"/>
              </w:rPr>
            </w:pPr>
          </w:p>
        </w:tc>
      </w:tr>
      <w:tr w14:paraId="5B8F8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1FA09595">
            <w:pPr>
              <w:pStyle w:val="37"/>
              <w:spacing w:before="71"/>
              <w:ind w:left="31" w:right="1"/>
              <w:jc w:val="center"/>
              <w:rPr>
                <w:sz w:val="21"/>
              </w:rPr>
            </w:pPr>
            <w:r>
              <w:rPr>
                <w:spacing w:val="-10"/>
                <w:sz w:val="21"/>
              </w:rPr>
              <w:t>５</w:t>
            </w:r>
          </w:p>
        </w:tc>
        <w:tc>
          <w:tcPr>
            <w:tcW w:w="3199" w:type="dxa"/>
          </w:tcPr>
          <w:p w14:paraId="69929125">
            <w:pPr>
              <w:pStyle w:val="37"/>
              <w:rPr>
                <w:rFonts w:ascii="Times New Roman"/>
                <w:sz w:val="20"/>
              </w:rPr>
            </w:pPr>
          </w:p>
        </w:tc>
        <w:tc>
          <w:tcPr>
            <w:tcW w:w="1427" w:type="dxa"/>
          </w:tcPr>
          <w:p w14:paraId="0BD1D37D">
            <w:pPr>
              <w:pStyle w:val="37"/>
              <w:rPr>
                <w:rFonts w:ascii="Times New Roman"/>
                <w:sz w:val="20"/>
              </w:rPr>
            </w:pPr>
          </w:p>
        </w:tc>
        <w:tc>
          <w:tcPr>
            <w:tcW w:w="1336" w:type="dxa"/>
          </w:tcPr>
          <w:p w14:paraId="30726A4D">
            <w:pPr>
              <w:pStyle w:val="37"/>
              <w:rPr>
                <w:rFonts w:ascii="Times New Roman"/>
                <w:sz w:val="20"/>
              </w:rPr>
            </w:pPr>
          </w:p>
        </w:tc>
        <w:tc>
          <w:tcPr>
            <w:tcW w:w="1802" w:type="dxa"/>
          </w:tcPr>
          <w:p w14:paraId="7B90AE9C">
            <w:pPr>
              <w:pStyle w:val="37"/>
              <w:rPr>
                <w:rFonts w:ascii="Times New Roman"/>
                <w:sz w:val="20"/>
              </w:rPr>
            </w:pPr>
          </w:p>
        </w:tc>
      </w:tr>
      <w:tr w14:paraId="4D79A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51" w:type="dxa"/>
          </w:tcPr>
          <w:p w14:paraId="01CF5BF1">
            <w:pPr>
              <w:pStyle w:val="37"/>
              <w:spacing w:before="71"/>
              <w:ind w:left="31" w:right="1"/>
              <w:jc w:val="center"/>
              <w:rPr>
                <w:sz w:val="21"/>
              </w:rPr>
            </w:pPr>
            <w:r>
              <w:rPr>
                <w:spacing w:val="-10"/>
                <w:sz w:val="21"/>
              </w:rPr>
              <w:t>６</w:t>
            </w:r>
          </w:p>
        </w:tc>
        <w:tc>
          <w:tcPr>
            <w:tcW w:w="3199" w:type="dxa"/>
          </w:tcPr>
          <w:p w14:paraId="35B71556">
            <w:pPr>
              <w:pStyle w:val="37"/>
              <w:rPr>
                <w:rFonts w:ascii="Times New Roman"/>
                <w:sz w:val="20"/>
              </w:rPr>
            </w:pPr>
          </w:p>
        </w:tc>
        <w:tc>
          <w:tcPr>
            <w:tcW w:w="1427" w:type="dxa"/>
          </w:tcPr>
          <w:p w14:paraId="17B86C02">
            <w:pPr>
              <w:pStyle w:val="37"/>
              <w:rPr>
                <w:rFonts w:ascii="Times New Roman"/>
                <w:sz w:val="20"/>
              </w:rPr>
            </w:pPr>
          </w:p>
        </w:tc>
        <w:tc>
          <w:tcPr>
            <w:tcW w:w="1336" w:type="dxa"/>
          </w:tcPr>
          <w:p w14:paraId="27FF73C0">
            <w:pPr>
              <w:pStyle w:val="37"/>
              <w:rPr>
                <w:rFonts w:ascii="Times New Roman"/>
                <w:sz w:val="20"/>
              </w:rPr>
            </w:pPr>
          </w:p>
        </w:tc>
        <w:tc>
          <w:tcPr>
            <w:tcW w:w="1802" w:type="dxa"/>
          </w:tcPr>
          <w:p w14:paraId="57BF23DE">
            <w:pPr>
              <w:pStyle w:val="37"/>
              <w:rPr>
                <w:rFonts w:ascii="Times New Roman"/>
                <w:sz w:val="20"/>
              </w:rPr>
            </w:pPr>
          </w:p>
        </w:tc>
      </w:tr>
      <w:tr w14:paraId="32B7D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366F4C2D">
            <w:pPr>
              <w:pStyle w:val="37"/>
              <w:rPr>
                <w:rFonts w:ascii="Times New Roman"/>
                <w:sz w:val="20"/>
              </w:rPr>
            </w:pPr>
          </w:p>
        </w:tc>
        <w:tc>
          <w:tcPr>
            <w:tcW w:w="3199" w:type="dxa"/>
          </w:tcPr>
          <w:p w14:paraId="3C73B94E">
            <w:pPr>
              <w:pStyle w:val="37"/>
              <w:spacing w:before="86"/>
              <w:ind w:left="18" w:right="2"/>
              <w:jc w:val="center"/>
              <w:rPr>
                <w:sz w:val="21"/>
              </w:rPr>
            </w:pPr>
            <w:r>
              <w:rPr>
                <w:spacing w:val="-5"/>
                <w:sz w:val="21"/>
              </w:rPr>
              <w:t>合计</w:t>
            </w:r>
          </w:p>
        </w:tc>
        <w:tc>
          <w:tcPr>
            <w:tcW w:w="1427" w:type="dxa"/>
          </w:tcPr>
          <w:p w14:paraId="328D8032">
            <w:pPr>
              <w:pStyle w:val="37"/>
              <w:rPr>
                <w:rFonts w:ascii="Times New Roman"/>
                <w:sz w:val="20"/>
              </w:rPr>
            </w:pPr>
          </w:p>
        </w:tc>
        <w:tc>
          <w:tcPr>
            <w:tcW w:w="1336" w:type="dxa"/>
          </w:tcPr>
          <w:p w14:paraId="3A7A72C4">
            <w:pPr>
              <w:pStyle w:val="37"/>
              <w:rPr>
                <w:rFonts w:ascii="Times New Roman"/>
                <w:sz w:val="20"/>
              </w:rPr>
            </w:pPr>
          </w:p>
        </w:tc>
        <w:tc>
          <w:tcPr>
            <w:tcW w:w="1802" w:type="dxa"/>
          </w:tcPr>
          <w:p w14:paraId="7E7CACA8">
            <w:pPr>
              <w:pStyle w:val="37"/>
              <w:rPr>
                <w:rFonts w:ascii="Times New Roman"/>
                <w:sz w:val="20"/>
              </w:rPr>
            </w:pPr>
          </w:p>
        </w:tc>
      </w:tr>
      <w:tr w14:paraId="39D3C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7C63E6E3">
            <w:pPr>
              <w:pStyle w:val="37"/>
              <w:rPr>
                <w:rFonts w:ascii="Times New Roman"/>
                <w:sz w:val="20"/>
              </w:rPr>
            </w:pPr>
          </w:p>
        </w:tc>
        <w:tc>
          <w:tcPr>
            <w:tcW w:w="3199" w:type="dxa"/>
          </w:tcPr>
          <w:p w14:paraId="453129C9">
            <w:pPr>
              <w:pStyle w:val="37"/>
              <w:spacing w:before="86"/>
              <w:ind w:left="18"/>
              <w:jc w:val="center"/>
              <w:rPr>
                <w:sz w:val="21"/>
              </w:rPr>
            </w:pPr>
            <w:r>
              <w:rPr>
                <w:sz w:val="21"/>
              </w:rPr>
              <w:t>本项目合同估算价（万元</w:t>
            </w:r>
            <w:r>
              <w:rPr>
                <w:spacing w:val="-10"/>
                <w:sz w:val="21"/>
              </w:rPr>
              <w:t>）</w:t>
            </w:r>
          </w:p>
        </w:tc>
        <w:tc>
          <w:tcPr>
            <w:tcW w:w="2763" w:type="dxa"/>
            <w:gridSpan w:val="2"/>
          </w:tcPr>
          <w:p w14:paraId="6F24CA11">
            <w:pPr>
              <w:pStyle w:val="37"/>
              <w:rPr>
                <w:rFonts w:ascii="Times New Roman"/>
                <w:sz w:val="20"/>
              </w:rPr>
            </w:pPr>
          </w:p>
        </w:tc>
        <w:tc>
          <w:tcPr>
            <w:tcW w:w="1802" w:type="dxa"/>
          </w:tcPr>
          <w:p w14:paraId="6353C6BE">
            <w:pPr>
              <w:pStyle w:val="37"/>
              <w:rPr>
                <w:rFonts w:ascii="Times New Roman"/>
                <w:sz w:val="20"/>
              </w:rPr>
            </w:pPr>
          </w:p>
        </w:tc>
      </w:tr>
    </w:tbl>
    <w:p w14:paraId="69263B49">
      <w:pPr>
        <w:spacing w:before="408" w:line="237" w:lineRule="auto"/>
        <w:ind w:left="1748" w:right="770" w:hanging="947"/>
        <w:jc w:val="both"/>
        <w:rPr>
          <w:sz w:val="21"/>
        </w:rPr>
      </w:pPr>
      <w:r>
        <w:rPr>
          <w:sz w:val="21"/>
        </w:rPr>
        <w:t>备注：</w:t>
      </w:r>
      <w:r>
        <w:rPr>
          <w:rFonts w:ascii="Calibri" w:eastAsia="Calibri"/>
          <w:sz w:val="21"/>
        </w:rPr>
        <w:t xml:space="preserve">1. </w:t>
      </w:r>
      <w:r>
        <w:rPr>
          <w:sz w:val="21"/>
        </w:rPr>
        <w:t>政府采购与工程建设有关的服务采用部分预留专门面向中小企业的，招标人应当</w:t>
      </w:r>
      <w:r>
        <w:rPr>
          <w:spacing w:val="-11"/>
          <w:sz w:val="21"/>
        </w:rPr>
        <w:t>明确预留工作、预留工作合同估算价及预留合同估算价与项目合同估算价的占比。</w:t>
      </w:r>
    </w:p>
    <w:p w14:paraId="2BB19F41">
      <w:pPr>
        <w:pStyle w:val="82"/>
        <w:numPr>
          <w:ilvl w:val="0"/>
          <w:numId w:val="17"/>
        </w:numPr>
        <w:tabs>
          <w:tab w:val="left" w:pos="1596"/>
          <w:tab w:val="left" w:pos="1643"/>
        </w:tabs>
        <w:spacing w:before="0" w:after="0" w:line="237" w:lineRule="auto"/>
        <w:ind w:left="1643" w:right="771" w:hanging="316"/>
        <w:jc w:val="both"/>
        <w:rPr>
          <w:sz w:val="21"/>
        </w:rPr>
      </w:pPr>
      <w:r>
        <w:rPr>
          <w:spacing w:val="-2"/>
          <w:sz w:val="21"/>
        </w:rPr>
        <w:t>招标人部分预留专门面向中小企业时，应根据项目的实际情况，结合《建筑法</w:t>
      </w:r>
      <w:r>
        <w:rPr>
          <w:spacing w:val="-47"/>
          <w:sz w:val="21"/>
        </w:rPr>
        <w:t>》《招</w:t>
      </w:r>
      <w:r>
        <w:rPr>
          <w:spacing w:val="-17"/>
          <w:sz w:val="21"/>
        </w:rPr>
        <w:t>标投标法》《工程勘察资质标准》《工程设计资质标准》《工程监理企业资质标准》</w:t>
      </w:r>
    </w:p>
    <w:p w14:paraId="2DA99334">
      <w:pPr>
        <w:spacing w:before="0" w:line="242" w:lineRule="auto"/>
        <w:ind w:left="1643" w:right="863" w:firstLine="0"/>
        <w:jc w:val="both"/>
        <w:rPr>
          <w:sz w:val="21"/>
        </w:rPr>
      </w:pPr>
      <w:r>
        <w:rPr>
          <w:spacing w:val="-4"/>
          <w:sz w:val="21"/>
        </w:rPr>
        <w:t>《政府采购促进中小企业发展管理办法》的相关规定，合理设置政府采购特别资格</w:t>
      </w:r>
      <w:r>
        <w:rPr>
          <w:sz w:val="21"/>
        </w:rPr>
        <w:t>要求，充分考虑预留工作与要求以联合体形式参加或者要求进行合同分包的适配性，以及联合协议或者分包意向协议中中小企业合同金额应当达到的比例的适配</w:t>
      </w:r>
      <w:r>
        <w:rPr>
          <w:spacing w:val="-6"/>
          <w:sz w:val="21"/>
        </w:rPr>
        <w:t>性。</w:t>
      </w:r>
    </w:p>
    <w:p w14:paraId="79F6F788">
      <w:pPr>
        <w:pStyle w:val="82"/>
        <w:numPr>
          <w:ilvl w:val="0"/>
          <w:numId w:val="17"/>
        </w:numPr>
        <w:tabs>
          <w:tab w:val="left" w:pos="1596"/>
          <w:tab w:val="left" w:pos="1643"/>
        </w:tabs>
        <w:spacing w:before="0" w:after="0" w:line="237" w:lineRule="auto"/>
        <w:ind w:left="1643" w:right="856" w:hanging="316"/>
        <w:jc w:val="both"/>
        <w:rPr>
          <w:sz w:val="21"/>
        </w:rPr>
      </w:pPr>
      <w:r>
        <w:rPr>
          <w:spacing w:val="-2"/>
          <w:sz w:val="21"/>
        </w:rPr>
        <w:t>预留工作中包含暂估价的，则在备注栏中标注采用工程服务招标或政府采购方式专门面向中小（小微）企业。</w:t>
      </w:r>
    </w:p>
    <w:p w14:paraId="4F182C75">
      <w:pPr>
        <w:spacing w:after="0" w:line="237" w:lineRule="auto"/>
        <w:jc w:val="both"/>
        <w:rPr>
          <w:sz w:val="21"/>
        </w:rPr>
        <w:sectPr>
          <w:pgSz w:w="11910" w:h="16850"/>
          <w:pgMar w:top="1460" w:right="920" w:bottom="1060" w:left="1000" w:header="0" w:footer="866" w:gutter="0"/>
          <w:cols w:space="720" w:num="1"/>
        </w:sectPr>
      </w:pPr>
    </w:p>
    <w:p w14:paraId="6B188B79">
      <w:pPr>
        <w:spacing w:before="5"/>
        <w:ind w:left="431" w:right="0" w:firstLine="0"/>
        <w:jc w:val="center"/>
        <w:rPr>
          <w:rFonts w:ascii="微软雅黑" w:eastAsia="微软雅黑"/>
          <w:b/>
          <w:sz w:val="24"/>
        </w:rPr>
      </w:pPr>
      <w:bookmarkStart w:id="237" w:name="附录三：政府采购与工程建设有关的服务适合小微企业承担的工作及金额"/>
      <w:bookmarkEnd w:id="237"/>
      <w:bookmarkStart w:id="238" w:name="_bookmark16"/>
      <w:bookmarkEnd w:id="238"/>
      <w:r>
        <w:rPr>
          <w:rFonts w:ascii="微软雅黑" w:eastAsia="微软雅黑"/>
          <w:b/>
          <w:spacing w:val="-1"/>
          <w:sz w:val="24"/>
        </w:rPr>
        <w:t>附录三：政府采购与工程建设有关的服务适合小微企业承担的工作及金额</w:t>
      </w:r>
    </w:p>
    <w:tbl>
      <w:tblPr>
        <w:tblStyle w:val="24"/>
        <w:tblW w:w="0" w:type="auto"/>
        <w:tblInd w:w="6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1"/>
        <w:gridCol w:w="3199"/>
        <w:gridCol w:w="1427"/>
        <w:gridCol w:w="1336"/>
        <w:gridCol w:w="1802"/>
      </w:tblGrid>
      <w:tr w14:paraId="3E5E6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751" w:type="dxa"/>
          </w:tcPr>
          <w:p w14:paraId="41FACF65">
            <w:pPr>
              <w:pStyle w:val="37"/>
              <w:spacing w:before="216"/>
              <w:ind w:left="31"/>
              <w:jc w:val="center"/>
              <w:rPr>
                <w:sz w:val="21"/>
              </w:rPr>
            </w:pPr>
            <w:r>
              <w:rPr>
                <w:spacing w:val="-5"/>
                <w:sz w:val="21"/>
              </w:rPr>
              <w:t>序号</w:t>
            </w:r>
          </w:p>
        </w:tc>
        <w:tc>
          <w:tcPr>
            <w:tcW w:w="3199" w:type="dxa"/>
          </w:tcPr>
          <w:p w14:paraId="1361FFAB">
            <w:pPr>
              <w:pStyle w:val="37"/>
              <w:spacing w:before="216"/>
              <w:ind w:left="18" w:right="1"/>
              <w:jc w:val="center"/>
              <w:rPr>
                <w:sz w:val="21"/>
              </w:rPr>
            </w:pPr>
            <w:r>
              <w:rPr>
                <w:spacing w:val="-2"/>
                <w:sz w:val="21"/>
              </w:rPr>
              <w:t>适合工作内容名称</w:t>
            </w:r>
          </w:p>
        </w:tc>
        <w:tc>
          <w:tcPr>
            <w:tcW w:w="1427" w:type="dxa"/>
          </w:tcPr>
          <w:p w14:paraId="3A741D3B">
            <w:pPr>
              <w:pStyle w:val="37"/>
              <w:spacing w:line="218" w:lineRule="exact"/>
              <w:ind w:left="16"/>
              <w:jc w:val="center"/>
              <w:rPr>
                <w:sz w:val="21"/>
              </w:rPr>
            </w:pPr>
            <w:r>
              <w:rPr>
                <w:spacing w:val="-3"/>
                <w:sz w:val="21"/>
              </w:rPr>
              <w:t>适合工作</w:t>
            </w:r>
          </w:p>
          <w:p w14:paraId="5CA260F7">
            <w:pPr>
              <w:pStyle w:val="37"/>
              <w:spacing w:line="272" w:lineRule="exact"/>
              <w:ind w:left="16"/>
              <w:jc w:val="center"/>
              <w:rPr>
                <w:sz w:val="21"/>
              </w:rPr>
            </w:pPr>
            <w:r>
              <w:rPr>
                <w:spacing w:val="-2"/>
                <w:sz w:val="21"/>
              </w:rPr>
              <w:t>合同估算价</w:t>
            </w:r>
          </w:p>
          <w:p w14:paraId="6F6E619B">
            <w:pPr>
              <w:pStyle w:val="37"/>
              <w:spacing w:before="12"/>
              <w:ind w:left="16"/>
              <w:jc w:val="center"/>
              <w:rPr>
                <w:sz w:val="21"/>
              </w:rPr>
            </w:pPr>
            <w:r>
              <w:rPr>
                <w:sz w:val="21"/>
              </w:rPr>
              <w:t>（万元</w:t>
            </w:r>
            <w:r>
              <w:rPr>
                <w:spacing w:val="-10"/>
                <w:sz w:val="21"/>
              </w:rPr>
              <w:t>）</w:t>
            </w:r>
          </w:p>
        </w:tc>
        <w:tc>
          <w:tcPr>
            <w:tcW w:w="1336" w:type="dxa"/>
          </w:tcPr>
          <w:p w14:paraId="4751AAEB">
            <w:pPr>
              <w:pStyle w:val="37"/>
              <w:spacing w:line="218" w:lineRule="exact"/>
              <w:ind w:left="142"/>
              <w:rPr>
                <w:sz w:val="21"/>
              </w:rPr>
            </w:pPr>
            <w:r>
              <w:rPr>
                <w:spacing w:val="-2"/>
                <w:sz w:val="21"/>
              </w:rPr>
              <w:t>适合工作合</w:t>
            </w:r>
          </w:p>
          <w:p w14:paraId="01BB138F">
            <w:pPr>
              <w:pStyle w:val="37"/>
              <w:spacing w:line="252" w:lineRule="auto"/>
              <w:ind w:left="248" w:right="125" w:hanging="106"/>
              <w:rPr>
                <w:sz w:val="21"/>
              </w:rPr>
            </w:pPr>
            <w:r>
              <w:rPr>
                <w:spacing w:val="-2"/>
                <w:sz w:val="21"/>
              </w:rPr>
              <w:t>同估算价占</w:t>
            </w:r>
            <w:r>
              <w:rPr>
                <w:spacing w:val="-4"/>
                <w:sz w:val="21"/>
              </w:rPr>
              <w:t>比（％）</w:t>
            </w:r>
          </w:p>
        </w:tc>
        <w:tc>
          <w:tcPr>
            <w:tcW w:w="1802" w:type="dxa"/>
          </w:tcPr>
          <w:p w14:paraId="61BD457C">
            <w:pPr>
              <w:pStyle w:val="37"/>
              <w:spacing w:before="216"/>
              <w:ind w:left="32"/>
              <w:jc w:val="center"/>
              <w:rPr>
                <w:sz w:val="21"/>
              </w:rPr>
            </w:pPr>
            <w:r>
              <w:rPr>
                <w:spacing w:val="-5"/>
                <w:sz w:val="21"/>
              </w:rPr>
              <w:t>备注</w:t>
            </w:r>
          </w:p>
        </w:tc>
      </w:tr>
      <w:tr w14:paraId="796D1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51" w:type="dxa"/>
            <w:tcBorders>
              <w:bottom w:val="single" w:color="000000" w:sz="8" w:space="0"/>
            </w:tcBorders>
          </w:tcPr>
          <w:p w14:paraId="6DED41B4">
            <w:pPr>
              <w:pStyle w:val="37"/>
              <w:spacing w:before="51"/>
              <w:ind w:left="31" w:right="1"/>
              <w:jc w:val="center"/>
              <w:rPr>
                <w:sz w:val="21"/>
              </w:rPr>
            </w:pPr>
            <w:r>
              <w:rPr>
                <w:spacing w:val="-10"/>
                <w:sz w:val="21"/>
              </w:rPr>
              <w:t>１</w:t>
            </w:r>
          </w:p>
        </w:tc>
        <w:tc>
          <w:tcPr>
            <w:tcW w:w="3199" w:type="dxa"/>
            <w:tcBorders>
              <w:bottom w:val="single" w:color="000000" w:sz="8" w:space="0"/>
            </w:tcBorders>
          </w:tcPr>
          <w:p w14:paraId="2F5329B2">
            <w:pPr>
              <w:pStyle w:val="37"/>
              <w:rPr>
                <w:rFonts w:ascii="Times New Roman"/>
                <w:sz w:val="20"/>
              </w:rPr>
            </w:pPr>
          </w:p>
        </w:tc>
        <w:tc>
          <w:tcPr>
            <w:tcW w:w="1427" w:type="dxa"/>
            <w:tcBorders>
              <w:bottom w:val="single" w:color="000000" w:sz="8" w:space="0"/>
            </w:tcBorders>
          </w:tcPr>
          <w:p w14:paraId="61D1A884">
            <w:pPr>
              <w:pStyle w:val="37"/>
              <w:rPr>
                <w:rFonts w:ascii="Times New Roman"/>
                <w:sz w:val="20"/>
              </w:rPr>
            </w:pPr>
          </w:p>
        </w:tc>
        <w:tc>
          <w:tcPr>
            <w:tcW w:w="1336" w:type="dxa"/>
            <w:tcBorders>
              <w:bottom w:val="single" w:color="000000" w:sz="8" w:space="0"/>
            </w:tcBorders>
          </w:tcPr>
          <w:p w14:paraId="15E72364">
            <w:pPr>
              <w:pStyle w:val="37"/>
              <w:rPr>
                <w:rFonts w:ascii="Times New Roman"/>
                <w:sz w:val="20"/>
              </w:rPr>
            </w:pPr>
          </w:p>
        </w:tc>
        <w:tc>
          <w:tcPr>
            <w:tcW w:w="1802" w:type="dxa"/>
            <w:tcBorders>
              <w:bottom w:val="single" w:color="000000" w:sz="8" w:space="0"/>
            </w:tcBorders>
          </w:tcPr>
          <w:p w14:paraId="3064BDE9">
            <w:pPr>
              <w:pStyle w:val="37"/>
              <w:rPr>
                <w:rFonts w:ascii="Times New Roman"/>
                <w:sz w:val="20"/>
              </w:rPr>
            </w:pPr>
          </w:p>
        </w:tc>
      </w:tr>
      <w:tr w14:paraId="6AA5B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51" w:type="dxa"/>
            <w:tcBorders>
              <w:top w:val="single" w:color="000000" w:sz="8" w:space="0"/>
            </w:tcBorders>
          </w:tcPr>
          <w:p w14:paraId="57D2564A">
            <w:pPr>
              <w:pStyle w:val="37"/>
              <w:spacing w:before="33"/>
              <w:ind w:left="31" w:right="1"/>
              <w:jc w:val="center"/>
              <w:rPr>
                <w:sz w:val="21"/>
              </w:rPr>
            </w:pPr>
            <w:r>
              <w:rPr>
                <w:spacing w:val="-10"/>
                <w:sz w:val="21"/>
              </w:rPr>
              <w:t>２</w:t>
            </w:r>
          </w:p>
        </w:tc>
        <w:tc>
          <w:tcPr>
            <w:tcW w:w="3199" w:type="dxa"/>
            <w:tcBorders>
              <w:top w:val="single" w:color="000000" w:sz="8" w:space="0"/>
            </w:tcBorders>
          </w:tcPr>
          <w:p w14:paraId="49F5DE46">
            <w:pPr>
              <w:pStyle w:val="37"/>
              <w:rPr>
                <w:rFonts w:ascii="Times New Roman"/>
                <w:sz w:val="20"/>
              </w:rPr>
            </w:pPr>
          </w:p>
        </w:tc>
        <w:tc>
          <w:tcPr>
            <w:tcW w:w="1427" w:type="dxa"/>
            <w:tcBorders>
              <w:top w:val="single" w:color="000000" w:sz="8" w:space="0"/>
            </w:tcBorders>
          </w:tcPr>
          <w:p w14:paraId="51BA1F9A">
            <w:pPr>
              <w:pStyle w:val="37"/>
              <w:rPr>
                <w:rFonts w:ascii="Times New Roman"/>
                <w:sz w:val="20"/>
              </w:rPr>
            </w:pPr>
          </w:p>
        </w:tc>
        <w:tc>
          <w:tcPr>
            <w:tcW w:w="1336" w:type="dxa"/>
            <w:tcBorders>
              <w:top w:val="single" w:color="000000" w:sz="8" w:space="0"/>
            </w:tcBorders>
          </w:tcPr>
          <w:p w14:paraId="5AD42F84">
            <w:pPr>
              <w:pStyle w:val="37"/>
              <w:rPr>
                <w:rFonts w:ascii="Times New Roman"/>
                <w:sz w:val="20"/>
              </w:rPr>
            </w:pPr>
          </w:p>
        </w:tc>
        <w:tc>
          <w:tcPr>
            <w:tcW w:w="1802" w:type="dxa"/>
            <w:tcBorders>
              <w:top w:val="single" w:color="000000" w:sz="8" w:space="0"/>
            </w:tcBorders>
          </w:tcPr>
          <w:p w14:paraId="155581C3">
            <w:pPr>
              <w:pStyle w:val="37"/>
              <w:rPr>
                <w:rFonts w:ascii="Times New Roman"/>
                <w:sz w:val="20"/>
              </w:rPr>
            </w:pPr>
          </w:p>
        </w:tc>
      </w:tr>
      <w:tr w14:paraId="055A4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3026DED6">
            <w:pPr>
              <w:pStyle w:val="37"/>
              <w:spacing w:before="36"/>
              <w:ind w:left="31" w:right="1"/>
              <w:jc w:val="center"/>
              <w:rPr>
                <w:sz w:val="21"/>
              </w:rPr>
            </w:pPr>
            <w:r>
              <w:rPr>
                <w:spacing w:val="-10"/>
                <w:sz w:val="21"/>
              </w:rPr>
              <w:t>３</w:t>
            </w:r>
          </w:p>
        </w:tc>
        <w:tc>
          <w:tcPr>
            <w:tcW w:w="3199" w:type="dxa"/>
          </w:tcPr>
          <w:p w14:paraId="734AAD42">
            <w:pPr>
              <w:pStyle w:val="37"/>
              <w:rPr>
                <w:rFonts w:ascii="Times New Roman"/>
                <w:sz w:val="20"/>
              </w:rPr>
            </w:pPr>
          </w:p>
        </w:tc>
        <w:tc>
          <w:tcPr>
            <w:tcW w:w="1427" w:type="dxa"/>
          </w:tcPr>
          <w:p w14:paraId="3740C10C">
            <w:pPr>
              <w:pStyle w:val="37"/>
              <w:rPr>
                <w:rFonts w:ascii="Times New Roman"/>
                <w:sz w:val="20"/>
              </w:rPr>
            </w:pPr>
          </w:p>
        </w:tc>
        <w:tc>
          <w:tcPr>
            <w:tcW w:w="1336" w:type="dxa"/>
          </w:tcPr>
          <w:p w14:paraId="40EF5516">
            <w:pPr>
              <w:pStyle w:val="37"/>
              <w:rPr>
                <w:rFonts w:ascii="Times New Roman"/>
                <w:sz w:val="20"/>
              </w:rPr>
            </w:pPr>
          </w:p>
        </w:tc>
        <w:tc>
          <w:tcPr>
            <w:tcW w:w="1802" w:type="dxa"/>
          </w:tcPr>
          <w:p w14:paraId="39259E21">
            <w:pPr>
              <w:pStyle w:val="37"/>
              <w:rPr>
                <w:rFonts w:ascii="Times New Roman"/>
                <w:sz w:val="20"/>
              </w:rPr>
            </w:pPr>
          </w:p>
        </w:tc>
      </w:tr>
      <w:tr w14:paraId="26358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21366B9F">
            <w:pPr>
              <w:pStyle w:val="37"/>
              <w:spacing w:before="36"/>
              <w:ind w:left="31" w:right="1"/>
              <w:jc w:val="center"/>
              <w:rPr>
                <w:sz w:val="21"/>
              </w:rPr>
            </w:pPr>
            <w:r>
              <w:rPr>
                <w:spacing w:val="-10"/>
                <w:sz w:val="21"/>
              </w:rPr>
              <w:t>４</w:t>
            </w:r>
          </w:p>
        </w:tc>
        <w:tc>
          <w:tcPr>
            <w:tcW w:w="3199" w:type="dxa"/>
          </w:tcPr>
          <w:p w14:paraId="0A117F38">
            <w:pPr>
              <w:pStyle w:val="37"/>
              <w:rPr>
                <w:rFonts w:ascii="Times New Roman"/>
                <w:sz w:val="20"/>
              </w:rPr>
            </w:pPr>
          </w:p>
        </w:tc>
        <w:tc>
          <w:tcPr>
            <w:tcW w:w="1427" w:type="dxa"/>
          </w:tcPr>
          <w:p w14:paraId="3F944B75">
            <w:pPr>
              <w:pStyle w:val="37"/>
              <w:rPr>
                <w:rFonts w:ascii="Times New Roman"/>
                <w:sz w:val="20"/>
              </w:rPr>
            </w:pPr>
          </w:p>
        </w:tc>
        <w:tc>
          <w:tcPr>
            <w:tcW w:w="1336" w:type="dxa"/>
          </w:tcPr>
          <w:p w14:paraId="327064BB">
            <w:pPr>
              <w:pStyle w:val="37"/>
              <w:rPr>
                <w:rFonts w:ascii="Times New Roman"/>
                <w:sz w:val="20"/>
              </w:rPr>
            </w:pPr>
          </w:p>
        </w:tc>
        <w:tc>
          <w:tcPr>
            <w:tcW w:w="1802" w:type="dxa"/>
          </w:tcPr>
          <w:p w14:paraId="4A7558C4">
            <w:pPr>
              <w:pStyle w:val="37"/>
              <w:rPr>
                <w:rFonts w:ascii="Times New Roman"/>
                <w:sz w:val="20"/>
              </w:rPr>
            </w:pPr>
          </w:p>
        </w:tc>
      </w:tr>
      <w:tr w14:paraId="1812A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51" w:type="dxa"/>
          </w:tcPr>
          <w:p w14:paraId="5105D6E8">
            <w:pPr>
              <w:pStyle w:val="37"/>
              <w:spacing w:before="36"/>
              <w:ind w:left="31" w:right="1"/>
              <w:jc w:val="center"/>
              <w:rPr>
                <w:sz w:val="21"/>
              </w:rPr>
            </w:pPr>
            <w:r>
              <w:rPr>
                <w:spacing w:val="-10"/>
                <w:sz w:val="21"/>
              </w:rPr>
              <w:t>５</w:t>
            </w:r>
          </w:p>
        </w:tc>
        <w:tc>
          <w:tcPr>
            <w:tcW w:w="3199" w:type="dxa"/>
          </w:tcPr>
          <w:p w14:paraId="491EA6A8">
            <w:pPr>
              <w:pStyle w:val="37"/>
              <w:rPr>
                <w:rFonts w:ascii="Times New Roman"/>
                <w:sz w:val="20"/>
              </w:rPr>
            </w:pPr>
          </w:p>
        </w:tc>
        <w:tc>
          <w:tcPr>
            <w:tcW w:w="1427" w:type="dxa"/>
          </w:tcPr>
          <w:p w14:paraId="7CE08BD7">
            <w:pPr>
              <w:pStyle w:val="37"/>
              <w:rPr>
                <w:rFonts w:ascii="Times New Roman"/>
                <w:sz w:val="20"/>
              </w:rPr>
            </w:pPr>
          </w:p>
        </w:tc>
        <w:tc>
          <w:tcPr>
            <w:tcW w:w="1336" w:type="dxa"/>
          </w:tcPr>
          <w:p w14:paraId="5450591B">
            <w:pPr>
              <w:pStyle w:val="37"/>
              <w:rPr>
                <w:rFonts w:ascii="Times New Roman"/>
                <w:sz w:val="20"/>
              </w:rPr>
            </w:pPr>
          </w:p>
        </w:tc>
        <w:tc>
          <w:tcPr>
            <w:tcW w:w="1802" w:type="dxa"/>
          </w:tcPr>
          <w:p w14:paraId="44393C7B">
            <w:pPr>
              <w:pStyle w:val="37"/>
              <w:rPr>
                <w:rFonts w:ascii="Times New Roman"/>
                <w:sz w:val="20"/>
              </w:rPr>
            </w:pPr>
          </w:p>
        </w:tc>
      </w:tr>
      <w:tr w14:paraId="01A0F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642FA132">
            <w:pPr>
              <w:pStyle w:val="37"/>
              <w:spacing w:before="51"/>
              <w:ind w:left="31" w:right="1"/>
              <w:jc w:val="center"/>
              <w:rPr>
                <w:sz w:val="21"/>
              </w:rPr>
            </w:pPr>
            <w:r>
              <w:rPr>
                <w:spacing w:val="-10"/>
                <w:sz w:val="21"/>
              </w:rPr>
              <w:t>６</w:t>
            </w:r>
          </w:p>
        </w:tc>
        <w:tc>
          <w:tcPr>
            <w:tcW w:w="3199" w:type="dxa"/>
          </w:tcPr>
          <w:p w14:paraId="7C4C9038">
            <w:pPr>
              <w:pStyle w:val="37"/>
              <w:rPr>
                <w:rFonts w:ascii="Times New Roman"/>
                <w:sz w:val="20"/>
              </w:rPr>
            </w:pPr>
          </w:p>
        </w:tc>
        <w:tc>
          <w:tcPr>
            <w:tcW w:w="1427" w:type="dxa"/>
          </w:tcPr>
          <w:p w14:paraId="69E25704">
            <w:pPr>
              <w:pStyle w:val="37"/>
              <w:rPr>
                <w:rFonts w:ascii="Times New Roman"/>
                <w:sz w:val="20"/>
              </w:rPr>
            </w:pPr>
          </w:p>
        </w:tc>
        <w:tc>
          <w:tcPr>
            <w:tcW w:w="1336" w:type="dxa"/>
          </w:tcPr>
          <w:p w14:paraId="0E3FF5C9">
            <w:pPr>
              <w:pStyle w:val="37"/>
              <w:rPr>
                <w:rFonts w:ascii="Times New Roman"/>
                <w:sz w:val="20"/>
              </w:rPr>
            </w:pPr>
          </w:p>
        </w:tc>
        <w:tc>
          <w:tcPr>
            <w:tcW w:w="1802" w:type="dxa"/>
          </w:tcPr>
          <w:p w14:paraId="548DCE13">
            <w:pPr>
              <w:pStyle w:val="37"/>
              <w:rPr>
                <w:rFonts w:ascii="Times New Roman"/>
                <w:sz w:val="20"/>
              </w:rPr>
            </w:pPr>
          </w:p>
        </w:tc>
      </w:tr>
      <w:tr w14:paraId="5C212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7F253A46">
            <w:pPr>
              <w:pStyle w:val="37"/>
              <w:rPr>
                <w:rFonts w:ascii="Times New Roman"/>
                <w:sz w:val="20"/>
              </w:rPr>
            </w:pPr>
          </w:p>
        </w:tc>
        <w:tc>
          <w:tcPr>
            <w:tcW w:w="3199" w:type="dxa"/>
          </w:tcPr>
          <w:p w14:paraId="4656EC5E">
            <w:pPr>
              <w:pStyle w:val="37"/>
              <w:spacing w:before="51"/>
              <w:ind w:left="18" w:right="2"/>
              <w:jc w:val="center"/>
              <w:rPr>
                <w:sz w:val="21"/>
              </w:rPr>
            </w:pPr>
            <w:r>
              <w:rPr>
                <w:spacing w:val="-5"/>
                <w:sz w:val="21"/>
              </w:rPr>
              <w:t>合计</w:t>
            </w:r>
          </w:p>
        </w:tc>
        <w:tc>
          <w:tcPr>
            <w:tcW w:w="1427" w:type="dxa"/>
          </w:tcPr>
          <w:p w14:paraId="4BC7B24F">
            <w:pPr>
              <w:pStyle w:val="37"/>
              <w:rPr>
                <w:rFonts w:ascii="Times New Roman"/>
                <w:sz w:val="20"/>
              </w:rPr>
            </w:pPr>
          </w:p>
        </w:tc>
        <w:tc>
          <w:tcPr>
            <w:tcW w:w="1336" w:type="dxa"/>
          </w:tcPr>
          <w:p w14:paraId="402D9251">
            <w:pPr>
              <w:pStyle w:val="37"/>
              <w:rPr>
                <w:rFonts w:ascii="Times New Roman"/>
                <w:sz w:val="20"/>
              </w:rPr>
            </w:pPr>
          </w:p>
        </w:tc>
        <w:tc>
          <w:tcPr>
            <w:tcW w:w="1802" w:type="dxa"/>
          </w:tcPr>
          <w:p w14:paraId="37F0E32E">
            <w:pPr>
              <w:pStyle w:val="37"/>
              <w:rPr>
                <w:rFonts w:ascii="Times New Roman"/>
                <w:sz w:val="20"/>
              </w:rPr>
            </w:pPr>
          </w:p>
        </w:tc>
      </w:tr>
      <w:tr w14:paraId="6C490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51" w:type="dxa"/>
          </w:tcPr>
          <w:p w14:paraId="784BF053">
            <w:pPr>
              <w:pStyle w:val="37"/>
              <w:rPr>
                <w:rFonts w:ascii="Times New Roman"/>
                <w:sz w:val="20"/>
              </w:rPr>
            </w:pPr>
          </w:p>
        </w:tc>
        <w:tc>
          <w:tcPr>
            <w:tcW w:w="3199" w:type="dxa"/>
          </w:tcPr>
          <w:p w14:paraId="1B4D7F12">
            <w:pPr>
              <w:pStyle w:val="37"/>
              <w:spacing w:before="51"/>
              <w:ind w:left="18"/>
              <w:jc w:val="center"/>
              <w:rPr>
                <w:sz w:val="21"/>
              </w:rPr>
            </w:pPr>
            <w:r>
              <w:rPr>
                <w:sz w:val="21"/>
              </w:rPr>
              <w:t>本项目合同估算价（万元</w:t>
            </w:r>
            <w:r>
              <w:rPr>
                <w:spacing w:val="-10"/>
                <w:sz w:val="21"/>
              </w:rPr>
              <w:t>）</w:t>
            </w:r>
          </w:p>
        </w:tc>
        <w:tc>
          <w:tcPr>
            <w:tcW w:w="2763" w:type="dxa"/>
            <w:gridSpan w:val="2"/>
          </w:tcPr>
          <w:p w14:paraId="785BB4A4">
            <w:pPr>
              <w:pStyle w:val="37"/>
              <w:rPr>
                <w:rFonts w:ascii="Times New Roman"/>
                <w:sz w:val="20"/>
              </w:rPr>
            </w:pPr>
          </w:p>
        </w:tc>
        <w:tc>
          <w:tcPr>
            <w:tcW w:w="1802" w:type="dxa"/>
          </w:tcPr>
          <w:p w14:paraId="0B1BF5B8">
            <w:pPr>
              <w:pStyle w:val="37"/>
              <w:rPr>
                <w:rFonts w:ascii="Times New Roman"/>
                <w:sz w:val="20"/>
              </w:rPr>
            </w:pPr>
          </w:p>
        </w:tc>
      </w:tr>
    </w:tbl>
    <w:p w14:paraId="58A6005B">
      <w:pPr>
        <w:spacing w:before="373" w:line="237" w:lineRule="auto"/>
        <w:ind w:left="1748" w:right="770" w:hanging="947"/>
        <w:jc w:val="left"/>
        <w:rPr>
          <w:sz w:val="21"/>
        </w:rPr>
      </w:pPr>
      <w:r>
        <w:rPr>
          <w:sz w:val="21"/>
        </w:rPr>
        <w:t>备注：</w:t>
      </w:r>
      <w:r>
        <w:rPr>
          <w:rFonts w:ascii="Calibri" w:eastAsia="Calibri"/>
          <w:sz w:val="21"/>
        </w:rPr>
        <w:t>1</w:t>
      </w:r>
      <w:r>
        <w:rPr>
          <w:rFonts w:ascii="Calibri" w:eastAsia="Calibri"/>
          <w:spacing w:val="20"/>
          <w:sz w:val="21"/>
        </w:rPr>
        <w:t xml:space="preserve">. </w:t>
      </w:r>
      <w:r>
        <w:rPr>
          <w:sz w:val="21"/>
        </w:rPr>
        <w:t>政府采购与工程建设有关的服务未预留份额面向中小企业采购的，如果招标人接</w:t>
      </w:r>
      <w:r>
        <w:rPr>
          <w:spacing w:val="-2"/>
          <w:sz w:val="21"/>
        </w:rPr>
        <w:t>受大中型企业与小微企业组成联合体或允许大中型企业向一家或者多家小微企业分包，招标人宜明确适合联合体中的小微企业或适合接受分包的小微企业承担的</w:t>
      </w:r>
      <w:r>
        <w:rPr>
          <w:spacing w:val="-13"/>
          <w:sz w:val="21"/>
        </w:rPr>
        <w:t>工作、适合工作的合同估算价及适合工作的合同估算价与项目合同估算价的占比，</w:t>
      </w:r>
      <w:r>
        <w:rPr>
          <w:spacing w:val="-2"/>
          <w:sz w:val="21"/>
        </w:rPr>
        <w:t>以供投标人组建联合体或签订分包意向协议时参考。</w:t>
      </w:r>
    </w:p>
    <w:p w14:paraId="26E14AEF">
      <w:pPr>
        <w:spacing w:before="0" w:line="249" w:lineRule="auto"/>
        <w:ind w:left="1748" w:right="856" w:hanging="316"/>
        <w:jc w:val="left"/>
        <w:rPr>
          <w:sz w:val="21"/>
        </w:rPr>
      </w:pPr>
      <w:r>
        <w:rPr>
          <w:rFonts w:ascii="Calibri" w:eastAsia="Calibri"/>
          <w:spacing w:val="-2"/>
          <w:sz w:val="21"/>
        </w:rPr>
        <w:t>2.</w:t>
      </w:r>
      <w:r>
        <w:rPr>
          <w:spacing w:val="-2"/>
          <w:sz w:val="21"/>
        </w:rPr>
        <w:t>适合工作中包含暂估价的，则在备注栏中标注采用工程服务招标或政府采购方式专门面向中小（小微）企业。</w:t>
      </w:r>
    </w:p>
    <w:p w14:paraId="030B9B8D">
      <w:pPr>
        <w:spacing w:after="0" w:line="249" w:lineRule="auto"/>
        <w:jc w:val="left"/>
        <w:rPr>
          <w:sz w:val="21"/>
        </w:rPr>
        <w:sectPr>
          <w:pgSz w:w="11910" w:h="16850"/>
          <w:pgMar w:top="1460" w:right="920" w:bottom="1060" w:left="1000" w:header="0" w:footer="866" w:gutter="0"/>
          <w:cols w:space="720" w:num="1"/>
        </w:sectPr>
      </w:pPr>
    </w:p>
    <w:p w14:paraId="6AA37D2E">
      <w:pPr>
        <w:spacing w:before="47"/>
        <w:ind w:left="802" w:right="0" w:firstLine="0"/>
        <w:jc w:val="left"/>
        <w:rPr>
          <w:sz w:val="10"/>
        </w:rPr>
      </w:pPr>
      <w:r>
        <w:rPr>
          <w:spacing w:val="-2"/>
          <w:sz w:val="21"/>
        </w:rPr>
        <w:t>附表一：招标文件澄清申请函</w:t>
      </w:r>
      <w:r>
        <w:rPr>
          <w:spacing w:val="-10"/>
          <w:position w:val="6"/>
          <w:sz w:val="10"/>
        </w:rPr>
        <w:t>①</w:t>
      </w:r>
    </w:p>
    <w:p w14:paraId="72066876">
      <w:pPr>
        <w:spacing w:before="347"/>
        <w:ind w:left="0" w:right="78" w:firstLine="0"/>
        <w:jc w:val="center"/>
        <w:rPr>
          <w:sz w:val="28"/>
        </w:rPr>
      </w:pPr>
      <w:r>
        <w:rPr>
          <w:spacing w:val="-1"/>
          <w:sz w:val="28"/>
        </w:rPr>
        <w:t>招标文件澄清申请函</w:t>
      </w:r>
    </w:p>
    <w:p w14:paraId="2590BB9F">
      <w:pPr>
        <w:pStyle w:val="10"/>
        <w:rPr>
          <w:sz w:val="21"/>
        </w:rPr>
      </w:pPr>
    </w:p>
    <w:p w14:paraId="7AE08B89">
      <w:pPr>
        <w:pStyle w:val="10"/>
        <w:rPr>
          <w:sz w:val="21"/>
        </w:rPr>
      </w:pPr>
    </w:p>
    <w:p w14:paraId="61F592F2">
      <w:pPr>
        <w:pStyle w:val="10"/>
        <w:spacing w:before="29"/>
        <w:rPr>
          <w:sz w:val="21"/>
        </w:rPr>
      </w:pPr>
    </w:p>
    <w:p w14:paraId="3FEA9E19">
      <w:pPr>
        <w:tabs>
          <w:tab w:val="left" w:pos="1624"/>
        </w:tabs>
        <w:spacing w:before="0"/>
        <w:ind w:left="0" w:right="1358" w:firstLine="0"/>
        <w:jc w:val="righ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665C5E91">
      <w:pPr>
        <w:pStyle w:val="10"/>
        <w:spacing w:before="10"/>
        <w:rPr>
          <w:rFonts w:ascii="Times New Roman"/>
          <w:sz w:val="21"/>
        </w:rPr>
      </w:pPr>
    </w:p>
    <w:p w14:paraId="54DB8511">
      <w:pPr>
        <w:tabs>
          <w:tab w:val="left" w:pos="1958"/>
        </w:tabs>
        <w:spacing w:before="1"/>
        <w:ind w:left="802" w:right="0" w:firstLine="0"/>
        <w:jc w:val="left"/>
        <w:rPr>
          <w:sz w:val="21"/>
        </w:rPr>
      </w:pPr>
      <w:r>
        <w:rPr>
          <w:rFonts w:ascii="Calibri" w:eastAsia="Calibri"/>
          <w:sz w:val="21"/>
          <w:u w:val="single"/>
        </w:rPr>
        <w:tab/>
      </w:r>
      <w:r>
        <w:rPr>
          <w:rFonts w:ascii="Calibri" w:eastAsia="Calibri"/>
          <w:spacing w:val="-2"/>
          <w:sz w:val="21"/>
          <w:u w:val="none"/>
        </w:rPr>
        <w:t>(</w:t>
      </w:r>
      <w:r>
        <w:rPr>
          <w:spacing w:val="-2"/>
          <w:sz w:val="21"/>
          <w:u w:val="none"/>
        </w:rPr>
        <w:t>招标人名称</w:t>
      </w:r>
      <w:r>
        <w:rPr>
          <w:rFonts w:ascii="Calibri" w:eastAsia="Calibri"/>
          <w:spacing w:val="-5"/>
          <w:sz w:val="21"/>
          <w:u w:val="none"/>
        </w:rPr>
        <w:t>)</w:t>
      </w:r>
      <w:r>
        <w:rPr>
          <w:spacing w:val="-5"/>
          <w:sz w:val="21"/>
          <w:u w:val="none"/>
        </w:rPr>
        <w:t>：</w:t>
      </w:r>
    </w:p>
    <w:p w14:paraId="2C5F5F5F">
      <w:pPr>
        <w:pStyle w:val="10"/>
        <w:spacing w:before="9"/>
        <w:rPr>
          <w:sz w:val="21"/>
        </w:rPr>
      </w:pPr>
    </w:p>
    <w:p w14:paraId="046D7760">
      <w:pPr>
        <w:tabs>
          <w:tab w:val="left" w:pos="2459"/>
          <w:tab w:val="left" w:pos="5673"/>
        </w:tabs>
        <w:spacing w:before="0"/>
        <w:ind w:left="341" w:right="0" w:firstLine="0"/>
        <w:jc w:val="center"/>
        <w:rPr>
          <w:sz w:val="21"/>
        </w:rPr>
      </w:pPr>
      <w:r>
        <w:rPr>
          <w:sz w:val="21"/>
        </w:rPr>
        <w:t>经过仔细阅</w:t>
      </w:r>
      <w:r>
        <w:rPr>
          <w:spacing w:val="-10"/>
          <w:sz w:val="21"/>
        </w:rPr>
        <w:t>读</w:t>
      </w:r>
      <w:r>
        <w:rPr>
          <w:rFonts w:ascii="Times New Roman" w:eastAsia="Times New Roman"/>
          <w:sz w:val="21"/>
          <w:u w:val="single"/>
        </w:rPr>
        <w:tab/>
      </w:r>
      <w:r>
        <w:rPr>
          <w:rFonts w:ascii="Calibri" w:eastAsia="Calibri"/>
          <w:sz w:val="21"/>
          <w:u w:val="none"/>
        </w:rPr>
        <w:t>(</w:t>
      </w:r>
      <w:r>
        <w:rPr>
          <w:spacing w:val="15"/>
          <w:sz w:val="21"/>
          <w:u w:val="none"/>
        </w:rPr>
        <w:t>项</w:t>
      </w:r>
      <w:r>
        <w:rPr>
          <w:sz w:val="21"/>
          <w:u w:val="none"/>
        </w:rPr>
        <w:t>目名称</w:t>
      </w:r>
      <w:r>
        <w:rPr>
          <w:rFonts w:ascii="Calibri" w:eastAsia="Calibri"/>
          <w:sz w:val="21"/>
          <w:u w:val="none"/>
        </w:rPr>
        <w:t>)</w:t>
      </w:r>
      <w:r>
        <w:rPr>
          <w:rFonts w:ascii="Times New Roman" w:eastAsia="Times New Roman"/>
          <w:spacing w:val="48"/>
          <w:sz w:val="21"/>
          <w:u w:val="single"/>
        </w:rPr>
        <w:t xml:space="preserve">  </w:t>
      </w:r>
      <w:r>
        <w:rPr>
          <w:spacing w:val="15"/>
          <w:sz w:val="21"/>
          <w:u w:val="none"/>
        </w:rPr>
        <w:t>（</w:t>
      </w:r>
      <w:r>
        <w:rPr>
          <w:sz w:val="21"/>
          <w:u w:val="none"/>
        </w:rPr>
        <w:t>标段名称</w:t>
      </w:r>
      <w:r>
        <w:rPr>
          <w:spacing w:val="-10"/>
          <w:sz w:val="21"/>
          <w:u w:val="none"/>
        </w:rPr>
        <w:t>）</w:t>
      </w:r>
      <w:r>
        <w:rPr>
          <w:rFonts w:ascii="Times New Roman" w:eastAsia="Times New Roman"/>
          <w:sz w:val="21"/>
          <w:u w:val="single"/>
        </w:rPr>
        <w:tab/>
      </w:r>
      <w:r>
        <w:rPr>
          <w:sz w:val="21"/>
          <w:u w:val="none"/>
        </w:rPr>
        <w:t>（服</w:t>
      </w:r>
      <w:r>
        <w:rPr>
          <w:spacing w:val="15"/>
          <w:sz w:val="21"/>
          <w:u w:val="none"/>
        </w:rPr>
        <w:t>务</w:t>
      </w:r>
      <w:r>
        <w:rPr>
          <w:sz w:val="21"/>
          <w:u w:val="none"/>
        </w:rPr>
        <w:t>名称）招标文</w:t>
      </w:r>
      <w:r>
        <w:rPr>
          <w:spacing w:val="15"/>
          <w:sz w:val="21"/>
          <w:u w:val="none"/>
        </w:rPr>
        <w:t>件</w:t>
      </w:r>
      <w:r>
        <w:rPr>
          <w:sz w:val="21"/>
          <w:u w:val="none"/>
        </w:rPr>
        <w:t>后</w:t>
      </w:r>
      <w:r>
        <w:rPr>
          <w:spacing w:val="-10"/>
          <w:sz w:val="21"/>
          <w:u w:val="none"/>
        </w:rPr>
        <w:t>，</w:t>
      </w:r>
    </w:p>
    <w:p w14:paraId="6625F2C6">
      <w:pPr>
        <w:pStyle w:val="10"/>
        <w:spacing w:before="24"/>
        <w:rPr>
          <w:sz w:val="21"/>
        </w:rPr>
      </w:pPr>
    </w:p>
    <w:p w14:paraId="230E64D5">
      <w:pPr>
        <w:spacing w:before="1"/>
        <w:ind w:left="802" w:right="0" w:firstLine="0"/>
        <w:jc w:val="left"/>
        <w:rPr>
          <w:sz w:val="21"/>
        </w:rPr>
      </w:pPr>
      <w:r>
        <w:rPr>
          <w:spacing w:val="-1"/>
          <w:sz w:val="21"/>
        </w:rPr>
        <w:t>我方申请对以下问题予以澄清：</w:t>
      </w:r>
    </w:p>
    <w:p w14:paraId="426DF6C5">
      <w:pPr>
        <w:pStyle w:val="82"/>
        <w:numPr>
          <w:ilvl w:val="0"/>
          <w:numId w:val="18"/>
        </w:numPr>
        <w:tabs>
          <w:tab w:val="left" w:pos="1386"/>
        </w:tabs>
        <w:spacing w:before="41" w:after="0" w:line="256" w:lineRule="exact"/>
        <w:ind w:left="1386" w:right="0" w:hanging="163"/>
        <w:jc w:val="left"/>
        <w:rPr>
          <w:rFonts w:ascii="Calibri" w:hAnsi="Calibri"/>
          <w:sz w:val="21"/>
        </w:rPr>
      </w:pPr>
      <w:r>
        <w:rPr>
          <w:rFonts w:ascii="Calibri" w:hAnsi="Calibri"/>
          <w:spacing w:val="-5"/>
          <w:sz w:val="21"/>
        </w:rPr>
        <w:t>……</w:t>
      </w:r>
    </w:p>
    <w:p w14:paraId="7827300B">
      <w:pPr>
        <w:pStyle w:val="82"/>
        <w:numPr>
          <w:ilvl w:val="0"/>
          <w:numId w:val="18"/>
        </w:numPr>
        <w:tabs>
          <w:tab w:val="left" w:pos="1386"/>
        </w:tabs>
        <w:spacing w:before="0" w:after="0" w:line="256" w:lineRule="exact"/>
        <w:ind w:left="1386" w:right="0" w:hanging="163"/>
        <w:jc w:val="left"/>
        <w:rPr>
          <w:rFonts w:ascii="Calibri" w:hAnsi="Calibri"/>
          <w:sz w:val="21"/>
        </w:rPr>
      </w:pPr>
      <w:r>
        <w:rPr>
          <w:rFonts w:ascii="Calibri" w:hAnsi="Calibri"/>
          <w:spacing w:val="-5"/>
          <w:sz w:val="21"/>
        </w:rPr>
        <w:t>……</w:t>
      </w:r>
    </w:p>
    <w:p w14:paraId="4F471141">
      <w:pPr>
        <w:pStyle w:val="10"/>
        <w:rPr>
          <w:rFonts w:ascii="Calibri"/>
          <w:sz w:val="21"/>
        </w:rPr>
      </w:pPr>
    </w:p>
    <w:p w14:paraId="5FEF4AE9">
      <w:pPr>
        <w:pStyle w:val="10"/>
        <w:spacing w:before="193"/>
        <w:rPr>
          <w:rFonts w:ascii="Calibri"/>
          <w:sz w:val="21"/>
        </w:rPr>
      </w:pPr>
    </w:p>
    <w:p w14:paraId="18042A27">
      <w:pPr>
        <w:tabs>
          <w:tab w:val="left" w:pos="7845"/>
        </w:tabs>
        <w:spacing w:before="0"/>
        <w:ind w:left="5323" w:right="0" w:firstLine="0"/>
        <w:jc w:val="left"/>
        <w:rPr>
          <w:sz w:val="21"/>
        </w:rPr>
      </w:pPr>
      <w:r>
        <w:rPr>
          <w:sz w:val="21"/>
        </w:rPr>
        <w:t>投标人</w:t>
      </w:r>
      <w:r>
        <w:rPr>
          <w:spacing w:val="-10"/>
          <w:sz w:val="21"/>
        </w:rPr>
        <w:t>：</w:t>
      </w:r>
      <w:r>
        <w:rPr>
          <w:rFonts w:ascii="Times New Roman" w:eastAsia="Times New Roman"/>
          <w:sz w:val="21"/>
          <w:u w:val="single"/>
        </w:rPr>
        <w:tab/>
      </w:r>
      <w:r>
        <w:rPr>
          <w:sz w:val="21"/>
          <w:u w:val="none"/>
        </w:rPr>
        <w:t>（盖单位章</w:t>
      </w:r>
      <w:r>
        <w:rPr>
          <w:spacing w:val="-10"/>
          <w:sz w:val="21"/>
          <w:u w:val="none"/>
        </w:rPr>
        <w:t>）</w:t>
      </w:r>
    </w:p>
    <w:p w14:paraId="30EE2714">
      <w:pPr>
        <w:pStyle w:val="10"/>
        <w:rPr>
          <w:sz w:val="21"/>
        </w:rPr>
      </w:pPr>
    </w:p>
    <w:p w14:paraId="0CBBD97E">
      <w:pPr>
        <w:pStyle w:val="10"/>
        <w:spacing w:before="157"/>
        <w:rPr>
          <w:sz w:val="21"/>
        </w:rPr>
      </w:pPr>
    </w:p>
    <w:p w14:paraId="5B933375">
      <w:pPr>
        <w:tabs>
          <w:tab w:val="left" w:pos="630"/>
          <w:tab w:val="left" w:pos="1261"/>
          <w:tab w:val="left" w:pos="1892"/>
        </w:tabs>
        <w:spacing w:before="0"/>
        <w:ind w:left="0" w:right="880" w:firstLine="0"/>
        <w:jc w:val="righ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7997425B">
      <w:pPr>
        <w:pStyle w:val="10"/>
        <w:rPr>
          <w:sz w:val="21"/>
        </w:rPr>
      </w:pPr>
    </w:p>
    <w:p w14:paraId="5AF459DD">
      <w:pPr>
        <w:pStyle w:val="10"/>
        <w:rPr>
          <w:sz w:val="21"/>
        </w:rPr>
      </w:pPr>
    </w:p>
    <w:p w14:paraId="108FD346">
      <w:pPr>
        <w:pStyle w:val="10"/>
        <w:spacing w:before="259"/>
        <w:rPr>
          <w:sz w:val="21"/>
        </w:rPr>
      </w:pPr>
    </w:p>
    <w:p w14:paraId="2F8F8FC2">
      <w:pPr>
        <w:spacing w:before="0"/>
        <w:ind w:left="1223" w:right="0" w:firstLine="0"/>
        <w:jc w:val="left"/>
        <w:rPr>
          <w:sz w:val="21"/>
        </w:rPr>
      </w:pPr>
      <w:r>
        <w:rPr>
          <w:spacing w:val="-1"/>
          <w:sz w:val="21"/>
        </w:rPr>
        <w:t>备注：投标人要求招标人澄清招标文件有关问题时，适用于本格式。</w:t>
      </w:r>
    </w:p>
    <w:p w14:paraId="20D1AA85">
      <w:pPr>
        <w:pStyle w:val="10"/>
        <w:rPr>
          <w:sz w:val="20"/>
        </w:rPr>
      </w:pPr>
    </w:p>
    <w:p w14:paraId="705C6848">
      <w:pPr>
        <w:pStyle w:val="10"/>
        <w:rPr>
          <w:sz w:val="20"/>
        </w:rPr>
      </w:pPr>
    </w:p>
    <w:p w14:paraId="4DF95237">
      <w:pPr>
        <w:pStyle w:val="10"/>
        <w:rPr>
          <w:sz w:val="20"/>
        </w:rPr>
      </w:pPr>
    </w:p>
    <w:p w14:paraId="7FB1882E">
      <w:pPr>
        <w:pStyle w:val="10"/>
        <w:rPr>
          <w:sz w:val="20"/>
        </w:rPr>
      </w:pPr>
    </w:p>
    <w:p w14:paraId="557F8944">
      <w:pPr>
        <w:pStyle w:val="10"/>
        <w:rPr>
          <w:sz w:val="20"/>
        </w:rPr>
      </w:pPr>
    </w:p>
    <w:p w14:paraId="4CDBFF37">
      <w:pPr>
        <w:pStyle w:val="10"/>
        <w:rPr>
          <w:sz w:val="20"/>
        </w:rPr>
      </w:pPr>
    </w:p>
    <w:p w14:paraId="6EEF02E7">
      <w:pPr>
        <w:pStyle w:val="10"/>
        <w:rPr>
          <w:sz w:val="20"/>
        </w:rPr>
      </w:pPr>
    </w:p>
    <w:p w14:paraId="18786618">
      <w:pPr>
        <w:pStyle w:val="10"/>
        <w:rPr>
          <w:sz w:val="20"/>
        </w:rPr>
      </w:pPr>
    </w:p>
    <w:p w14:paraId="1F6705B2">
      <w:pPr>
        <w:pStyle w:val="10"/>
        <w:rPr>
          <w:sz w:val="20"/>
        </w:rPr>
      </w:pPr>
    </w:p>
    <w:p w14:paraId="523A773F">
      <w:pPr>
        <w:pStyle w:val="10"/>
        <w:rPr>
          <w:sz w:val="20"/>
        </w:rPr>
      </w:pPr>
    </w:p>
    <w:p w14:paraId="4ABCDF71">
      <w:pPr>
        <w:pStyle w:val="10"/>
        <w:rPr>
          <w:sz w:val="20"/>
        </w:rPr>
      </w:pPr>
    </w:p>
    <w:p w14:paraId="7CCAB157">
      <w:pPr>
        <w:pStyle w:val="10"/>
        <w:rPr>
          <w:sz w:val="20"/>
        </w:rPr>
      </w:pPr>
    </w:p>
    <w:p w14:paraId="71D24C4D">
      <w:pPr>
        <w:pStyle w:val="10"/>
        <w:rPr>
          <w:sz w:val="20"/>
        </w:rPr>
      </w:pPr>
    </w:p>
    <w:p w14:paraId="6AF5C9B7">
      <w:pPr>
        <w:pStyle w:val="10"/>
        <w:rPr>
          <w:sz w:val="20"/>
        </w:rPr>
      </w:pPr>
    </w:p>
    <w:p w14:paraId="364CF4DD">
      <w:pPr>
        <w:pStyle w:val="10"/>
        <w:rPr>
          <w:sz w:val="20"/>
        </w:rPr>
      </w:pPr>
    </w:p>
    <w:p w14:paraId="570812FE">
      <w:pPr>
        <w:pStyle w:val="10"/>
        <w:rPr>
          <w:sz w:val="20"/>
        </w:rPr>
      </w:pPr>
    </w:p>
    <w:p w14:paraId="357EAC8B">
      <w:pPr>
        <w:pStyle w:val="10"/>
        <w:rPr>
          <w:sz w:val="20"/>
        </w:rPr>
      </w:pPr>
    </w:p>
    <w:p w14:paraId="540C030B">
      <w:pPr>
        <w:pStyle w:val="10"/>
        <w:rPr>
          <w:sz w:val="20"/>
        </w:rPr>
      </w:pPr>
    </w:p>
    <w:p w14:paraId="6FCA32FC">
      <w:pPr>
        <w:pStyle w:val="10"/>
        <w:rPr>
          <w:sz w:val="20"/>
        </w:rPr>
      </w:pPr>
    </w:p>
    <w:p w14:paraId="7C6C48EB">
      <w:pPr>
        <w:pStyle w:val="10"/>
        <w:rPr>
          <w:sz w:val="20"/>
        </w:rPr>
      </w:pPr>
    </w:p>
    <w:p w14:paraId="326A500A">
      <w:pPr>
        <w:pStyle w:val="10"/>
        <w:rPr>
          <w:sz w:val="20"/>
        </w:rPr>
      </w:pPr>
    </w:p>
    <w:p w14:paraId="5EEEEC47">
      <w:pPr>
        <w:pStyle w:val="10"/>
        <w:spacing w:before="7"/>
        <w:rPr>
          <w:sz w:val="20"/>
        </w:rPr>
      </w:pPr>
      <w:r>
        <mc:AlternateContent>
          <mc:Choice Requires="wps">
            <w:drawing>
              <wp:anchor distT="0" distB="0" distL="0" distR="0" simplePos="0" relativeHeight="251661312" behindDoc="1" locked="0" layoutInCell="1" allowOverlap="1">
                <wp:simplePos x="0" y="0"/>
                <wp:positionH relativeFrom="page">
                  <wp:posOffset>1411605</wp:posOffset>
                </wp:positionH>
                <wp:positionV relativeFrom="paragraph">
                  <wp:posOffset>184785</wp:posOffset>
                </wp:positionV>
                <wp:extent cx="1831340" cy="9525"/>
                <wp:effectExtent l="0" t="0" r="0" b="0"/>
                <wp:wrapTopAndBottom/>
                <wp:docPr id="6" name="Graphic 6"/>
                <wp:cNvGraphicFramePr/>
                <a:graphic xmlns:a="http://schemas.openxmlformats.org/drawingml/2006/main">
                  <a:graphicData uri="http://schemas.microsoft.com/office/word/2010/wordprocessingShape">
                    <wps:wsp>
                      <wps:cNvSpPr/>
                      <wps:spPr>
                        <a:xfrm>
                          <a:off x="0" y="0"/>
                          <a:ext cx="1831339" cy="9525"/>
                        </a:xfrm>
                        <a:custGeom>
                          <a:avLst/>
                          <a:gdLst/>
                          <a:ahLst/>
                          <a:cxnLst/>
                          <a:rect l="l" t="t" r="r" b="b"/>
                          <a:pathLst>
                            <a:path w="1831339" h="9525">
                              <a:moveTo>
                                <a:pt x="1830958" y="0"/>
                              </a:moveTo>
                              <a:lnTo>
                                <a:pt x="0" y="0"/>
                              </a:lnTo>
                              <a:lnTo>
                                <a:pt x="0" y="9525"/>
                              </a:lnTo>
                              <a:lnTo>
                                <a:pt x="1830958" y="9525"/>
                              </a:lnTo>
                              <a:lnTo>
                                <a:pt x="1830958" y="0"/>
                              </a:lnTo>
                              <a:close/>
                            </a:path>
                          </a:pathLst>
                        </a:custGeom>
                        <a:solidFill>
                          <a:srgbClr val="000000"/>
                        </a:solidFill>
                      </wps:spPr>
                      <wps:bodyPr wrap="square" lIns="0" tIns="0" rIns="0" bIns="0" rtlCol="0">
                        <a:noAutofit/>
                      </wps:bodyPr>
                    </wps:wsp>
                  </a:graphicData>
                </a:graphic>
              </wp:anchor>
            </w:drawing>
          </mc:Choice>
          <mc:Fallback>
            <w:pict>
              <v:shape id="Graphic 6" o:spid="_x0000_s1026" o:spt="100" style="position:absolute;left:0pt;margin-left:111.15pt;margin-top:14.55pt;height:0.75pt;width:144.2pt;mso-position-horizontal-relative:page;mso-wrap-distance-bottom:0pt;mso-wrap-distance-top:0pt;z-index:-251655168;mso-width-relative:page;mso-height-relative:page;" fillcolor="#000000" filled="t" stroked="f" coordsize="1831339,9525" o:gfxdata="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6SDmm9gA&#10;AAAJAQAADwAAAAAAAAABACAAAAAiAAAAZHJzL2Rvd25yZXYueG1sUEsBAhQAFAAAAAgAh07iQAFu&#10;imEfAgAA3AQAAA4AAAAAAAAAAQAgAAAAJwEAAGRycy9lMm9Eb2MueG1sUEsFBgAAAAAGAAYAWQEA&#10;ALgFAAAAAA==&#10;" path="m1830958,0l0,0,0,9525,1830958,9525,1830958,0xe">
                <v:fill on="t" focussize="0,0"/>
                <v:stroke on="f"/>
                <v:imagedata o:title=""/>
                <o:lock v:ext="edit" aspectratio="f"/>
                <v:textbox inset="0mm,0mm,0mm,0mm"/>
                <w10:wrap type="topAndBottom"/>
              </v:shape>
            </w:pict>
          </mc:Fallback>
        </mc:AlternateContent>
      </w:r>
    </w:p>
    <w:p w14:paraId="57B980E9">
      <w:pPr>
        <w:spacing w:before="87"/>
        <w:ind w:left="802" w:right="0" w:firstLine="0"/>
        <w:jc w:val="left"/>
        <w:rPr>
          <w:sz w:val="18"/>
        </w:rPr>
      </w:pPr>
      <w:r>
        <w:rPr>
          <w:color w:val="FF0000"/>
          <w:position w:val="4"/>
          <w:sz w:val="9"/>
        </w:rPr>
        <w:t>①</w:t>
      </w:r>
      <w:r>
        <w:rPr>
          <w:color w:val="FF0000"/>
          <w:spacing w:val="-1"/>
          <w:sz w:val="18"/>
        </w:rPr>
        <w:t>招标人可根据项目具体特点和实际情况对附表格式进行修改，下同。</w:t>
      </w:r>
    </w:p>
    <w:p w14:paraId="4F228F2E">
      <w:pPr>
        <w:spacing w:after="0"/>
        <w:jc w:val="left"/>
        <w:rPr>
          <w:sz w:val="18"/>
        </w:rPr>
        <w:sectPr>
          <w:pgSz w:w="11910" w:h="16850"/>
          <w:pgMar w:top="1640" w:right="920" w:bottom="1060" w:left="1000" w:header="0" w:footer="866" w:gutter="0"/>
          <w:cols w:space="720" w:num="1"/>
        </w:sectPr>
      </w:pPr>
    </w:p>
    <w:p w14:paraId="5C3D71CB">
      <w:pPr>
        <w:pStyle w:val="10"/>
        <w:spacing w:before="37"/>
        <w:ind w:left="1087"/>
      </w:pPr>
      <w:bookmarkStart w:id="239" w:name="附表二：招标文件澄清通知"/>
      <w:bookmarkEnd w:id="239"/>
      <w:r>
        <w:rPr>
          <w:spacing w:val="-1"/>
        </w:rPr>
        <w:t>附表二：招标文件澄清通知</w:t>
      </w:r>
    </w:p>
    <w:p w14:paraId="739132A6">
      <w:pPr>
        <w:pStyle w:val="10"/>
      </w:pPr>
    </w:p>
    <w:p w14:paraId="11937367">
      <w:pPr>
        <w:pStyle w:val="10"/>
        <w:spacing w:before="194"/>
      </w:pPr>
    </w:p>
    <w:p w14:paraId="170EB320">
      <w:pPr>
        <w:spacing w:before="0"/>
        <w:ind w:left="0" w:right="78" w:firstLine="0"/>
        <w:jc w:val="center"/>
        <w:rPr>
          <w:sz w:val="28"/>
        </w:rPr>
      </w:pPr>
      <w:r>
        <w:rPr>
          <w:spacing w:val="1"/>
          <w:sz w:val="28"/>
        </w:rPr>
        <w:t>招标文件澄清通知</w:t>
      </w:r>
    </w:p>
    <w:p w14:paraId="244F2E66">
      <w:pPr>
        <w:pStyle w:val="10"/>
        <w:rPr>
          <w:sz w:val="21"/>
        </w:rPr>
      </w:pPr>
    </w:p>
    <w:p w14:paraId="05B3B037">
      <w:pPr>
        <w:pStyle w:val="10"/>
        <w:rPr>
          <w:sz w:val="21"/>
        </w:rPr>
      </w:pPr>
    </w:p>
    <w:p w14:paraId="049615AC">
      <w:pPr>
        <w:pStyle w:val="10"/>
        <w:spacing w:before="14"/>
        <w:rPr>
          <w:sz w:val="21"/>
        </w:rPr>
      </w:pPr>
    </w:p>
    <w:p w14:paraId="26BAD580">
      <w:pPr>
        <w:tabs>
          <w:tab w:val="left" w:pos="1519"/>
        </w:tabs>
        <w:spacing w:before="0"/>
        <w:ind w:left="0" w:right="1673" w:firstLine="0"/>
        <w:jc w:val="righ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2C066965">
      <w:pPr>
        <w:pStyle w:val="10"/>
        <w:rPr>
          <w:rFonts w:ascii="Times New Roman"/>
          <w:sz w:val="21"/>
        </w:rPr>
      </w:pPr>
    </w:p>
    <w:p w14:paraId="6898B848">
      <w:pPr>
        <w:pStyle w:val="10"/>
        <w:spacing w:before="220"/>
        <w:rPr>
          <w:rFonts w:ascii="Times New Roman"/>
          <w:sz w:val="21"/>
        </w:rPr>
      </w:pPr>
    </w:p>
    <w:p w14:paraId="6A585993">
      <w:pPr>
        <w:spacing w:before="0"/>
        <w:ind w:left="1223" w:right="0" w:firstLine="0"/>
        <w:jc w:val="left"/>
        <w:rPr>
          <w:sz w:val="21"/>
        </w:rPr>
      </w:pPr>
      <w:r>
        <w:rPr>
          <w:spacing w:val="-4"/>
          <w:sz w:val="21"/>
        </w:rPr>
        <w:t>各投标人：</w:t>
      </w:r>
    </w:p>
    <w:p w14:paraId="1ABD8EF7">
      <w:pPr>
        <w:pStyle w:val="10"/>
        <w:spacing w:before="10"/>
        <w:rPr>
          <w:sz w:val="21"/>
        </w:rPr>
      </w:pPr>
    </w:p>
    <w:p w14:paraId="7A257B76">
      <w:pPr>
        <w:tabs>
          <w:tab w:val="left" w:pos="3235"/>
          <w:tab w:val="left" w:pos="4752"/>
          <w:tab w:val="left" w:pos="6764"/>
        </w:tabs>
        <w:spacing w:before="0"/>
        <w:ind w:left="1223" w:right="0" w:firstLine="0"/>
        <w:jc w:val="left"/>
        <w:rPr>
          <w:sz w:val="21"/>
        </w:rPr>
      </w:pPr>
      <w:r>
        <w:rPr>
          <w:sz w:val="21"/>
        </w:rPr>
        <w:t>经研究，</w:t>
      </w:r>
      <w:r>
        <w:rPr>
          <w:spacing w:val="-10"/>
          <w:sz w:val="21"/>
        </w:rPr>
        <w:t>对</w:t>
      </w:r>
      <w:r>
        <w:rPr>
          <w:rFonts w:ascii="Calibri" w:eastAsia="Calibri"/>
          <w:sz w:val="21"/>
          <w:u w:val="single"/>
        </w:rPr>
        <w:tab/>
      </w:r>
      <w:r>
        <w:rPr>
          <w:rFonts w:ascii="Calibri" w:eastAsia="Calibri"/>
          <w:sz w:val="21"/>
          <w:u w:val="none"/>
        </w:rPr>
        <w:t>(</w:t>
      </w:r>
      <w:r>
        <w:rPr>
          <w:sz w:val="21"/>
          <w:u w:val="none"/>
        </w:rPr>
        <w:t>项</w:t>
      </w:r>
      <w:r>
        <w:rPr>
          <w:spacing w:val="11"/>
          <w:sz w:val="21"/>
          <w:u w:val="none"/>
        </w:rPr>
        <w:t>目</w:t>
      </w:r>
      <w:r>
        <w:rPr>
          <w:sz w:val="21"/>
          <w:u w:val="none"/>
        </w:rPr>
        <w:t>名称</w:t>
      </w:r>
      <w:r>
        <w:rPr>
          <w:rFonts w:ascii="Calibri" w:eastAsia="Calibri"/>
          <w:spacing w:val="-10"/>
          <w:sz w:val="21"/>
          <w:u w:val="none"/>
        </w:rPr>
        <w:t>)</w:t>
      </w:r>
      <w:r>
        <w:rPr>
          <w:rFonts w:ascii="Times New Roman" w:eastAsia="Times New Roman"/>
          <w:sz w:val="21"/>
          <w:u w:val="single"/>
        </w:rPr>
        <w:tab/>
      </w:r>
      <w:r>
        <w:rPr>
          <w:sz w:val="21"/>
          <w:u w:val="none"/>
        </w:rPr>
        <w:t>（标段名称</w:t>
      </w:r>
      <w:r>
        <w:rPr>
          <w:spacing w:val="-10"/>
          <w:sz w:val="21"/>
          <w:u w:val="none"/>
        </w:rPr>
        <w:t>）</w:t>
      </w:r>
      <w:r>
        <w:rPr>
          <w:rFonts w:ascii="Times New Roman" w:eastAsia="Times New Roman"/>
          <w:sz w:val="21"/>
          <w:u w:val="single"/>
        </w:rPr>
        <w:tab/>
      </w:r>
      <w:r>
        <w:rPr>
          <w:sz w:val="21"/>
          <w:u w:val="none"/>
        </w:rPr>
        <w:t>（</w:t>
      </w:r>
      <w:r>
        <w:rPr>
          <w:spacing w:val="15"/>
          <w:sz w:val="21"/>
          <w:u w:val="none"/>
        </w:rPr>
        <w:t>服</w:t>
      </w:r>
      <w:r>
        <w:rPr>
          <w:sz w:val="21"/>
          <w:u w:val="none"/>
        </w:rPr>
        <w:t>务名称）招标</w:t>
      </w:r>
      <w:r>
        <w:rPr>
          <w:spacing w:val="15"/>
          <w:sz w:val="21"/>
          <w:u w:val="none"/>
        </w:rPr>
        <w:t>文</w:t>
      </w:r>
      <w:r>
        <w:rPr>
          <w:sz w:val="21"/>
          <w:u w:val="none"/>
        </w:rPr>
        <w:t>件</w:t>
      </w:r>
      <w:r>
        <w:rPr>
          <w:spacing w:val="-10"/>
          <w:sz w:val="21"/>
          <w:u w:val="none"/>
        </w:rPr>
        <w:t>，</w:t>
      </w:r>
    </w:p>
    <w:p w14:paraId="0DF576CF">
      <w:pPr>
        <w:pStyle w:val="10"/>
        <w:spacing w:before="9"/>
        <w:rPr>
          <w:sz w:val="21"/>
        </w:rPr>
      </w:pPr>
    </w:p>
    <w:p w14:paraId="0FC4A625">
      <w:pPr>
        <w:spacing w:before="0"/>
        <w:ind w:left="0" w:right="7121" w:firstLine="0"/>
        <w:jc w:val="center"/>
        <w:rPr>
          <w:sz w:val="21"/>
        </w:rPr>
      </w:pPr>
      <w:r>
        <w:rPr>
          <w:spacing w:val="-2"/>
          <w:sz w:val="21"/>
        </w:rPr>
        <w:t>作如下澄清：</w:t>
      </w:r>
    </w:p>
    <w:p w14:paraId="286AC411">
      <w:pPr>
        <w:pStyle w:val="10"/>
        <w:spacing w:before="39"/>
        <w:rPr>
          <w:sz w:val="21"/>
        </w:rPr>
      </w:pPr>
    </w:p>
    <w:p w14:paraId="04CB4C4C">
      <w:pPr>
        <w:pStyle w:val="82"/>
        <w:numPr>
          <w:ilvl w:val="0"/>
          <w:numId w:val="19"/>
        </w:numPr>
        <w:tabs>
          <w:tab w:val="left" w:pos="163"/>
        </w:tabs>
        <w:spacing w:before="0" w:after="0" w:line="240" w:lineRule="auto"/>
        <w:ind w:left="163" w:right="7082" w:hanging="163"/>
        <w:jc w:val="center"/>
        <w:rPr>
          <w:rFonts w:ascii="Calibri" w:hAnsi="Calibri"/>
          <w:sz w:val="21"/>
        </w:rPr>
      </w:pPr>
      <w:r>
        <w:rPr>
          <w:rFonts w:ascii="Calibri" w:hAnsi="Calibri"/>
          <w:spacing w:val="-5"/>
          <w:sz w:val="21"/>
        </w:rPr>
        <w:t>……</w:t>
      </w:r>
    </w:p>
    <w:p w14:paraId="03C7A91C">
      <w:pPr>
        <w:pStyle w:val="10"/>
        <w:spacing w:before="43"/>
        <w:rPr>
          <w:rFonts w:ascii="Calibri"/>
          <w:sz w:val="21"/>
        </w:rPr>
      </w:pPr>
    </w:p>
    <w:p w14:paraId="31BDE41D">
      <w:pPr>
        <w:pStyle w:val="82"/>
        <w:numPr>
          <w:ilvl w:val="0"/>
          <w:numId w:val="19"/>
        </w:numPr>
        <w:tabs>
          <w:tab w:val="left" w:pos="163"/>
        </w:tabs>
        <w:spacing w:before="0" w:after="0" w:line="240" w:lineRule="auto"/>
        <w:ind w:left="163" w:right="7082" w:hanging="163"/>
        <w:jc w:val="center"/>
        <w:rPr>
          <w:rFonts w:ascii="Calibri" w:hAnsi="Calibri"/>
          <w:sz w:val="21"/>
        </w:rPr>
      </w:pPr>
      <w:r>
        <w:rPr>
          <w:rFonts w:ascii="Calibri" w:hAnsi="Calibri"/>
          <w:spacing w:val="-5"/>
          <w:sz w:val="21"/>
        </w:rPr>
        <w:t>……</w:t>
      </w:r>
    </w:p>
    <w:p w14:paraId="6F40DB9F">
      <w:pPr>
        <w:pStyle w:val="10"/>
        <w:rPr>
          <w:rFonts w:ascii="Calibri"/>
          <w:sz w:val="21"/>
        </w:rPr>
      </w:pPr>
    </w:p>
    <w:p w14:paraId="47D7DFDE">
      <w:pPr>
        <w:pStyle w:val="10"/>
        <w:rPr>
          <w:rFonts w:ascii="Calibri"/>
          <w:sz w:val="21"/>
        </w:rPr>
      </w:pPr>
    </w:p>
    <w:p w14:paraId="3B0A1ACF">
      <w:pPr>
        <w:pStyle w:val="10"/>
        <w:rPr>
          <w:rFonts w:ascii="Calibri"/>
          <w:sz w:val="21"/>
        </w:rPr>
      </w:pPr>
    </w:p>
    <w:p w14:paraId="2016B24A">
      <w:pPr>
        <w:pStyle w:val="10"/>
        <w:rPr>
          <w:rFonts w:ascii="Calibri"/>
          <w:sz w:val="21"/>
        </w:rPr>
      </w:pPr>
    </w:p>
    <w:p w14:paraId="55B63DB3">
      <w:pPr>
        <w:pStyle w:val="10"/>
        <w:rPr>
          <w:rFonts w:ascii="Calibri"/>
          <w:sz w:val="21"/>
        </w:rPr>
      </w:pPr>
    </w:p>
    <w:p w14:paraId="152A58E2">
      <w:pPr>
        <w:pStyle w:val="10"/>
        <w:rPr>
          <w:rFonts w:ascii="Calibri"/>
          <w:sz w:val="21"/>
        </w:rPr>
      </w:pPr>
    </w:p>
    <w:p w14:paraId="543695DA">
      <w:pPr>
        <w:pStyle w:val="10"/>
        <w:rPr>
          <w:rFonts w:ascii="Calibri"/>
          <w:sz w:val="21"/>
        </w:rPr>
      </w:pPr>
    </w:p>
    <w:p w14:paraId="680E233D">
      <w:pPr>
        <w:pStyle w:val="10"/>
        <w:rPr>
          <w:rFonts w:ascii="Calibri"/>
          <w:sz w:val="21"/>
        </w:rPr>
      </w:pPr>
    </w:p>
    <w:p w14:paraId="467666FF">
      <w:pPr>
        <w:pStyle w:val="10"/>
        <w:spacing w:before="139"/>
        <w:rPr>
          <w:rFonts w:ascii="Calibri"/>
          <w:sz w:val="21"/>
        </w:rPr>
      </w:pPr>
    </w:p>
    <w:p w14:paraId="07816578">
      <w:pPr>
        <w:tabs>
          <w:tab w:val="left" w:pos="7788"/>
        </w:tabs>
        <w:spacing w:before="1"/>
        <w:ind w:left="5007" w:right="0" w:firstLine="0"/>
        <w:jc w:val="left"/>
        <w:rPr>
          <w:sz w:val="21"/>
        </w:rPr>
      </w:pPr>
      <w:r>
        <w:rPr>
          <w:sz w:val="21"/>
        </w:rPr>
        <w:t>招标人</w:t>
      </w:r>
      <w:r>
        <w:rPr>
          <w:spacing w:val="-10"/>
          <w:sz w:val="21"/>
        </w:rPr>
        <w:t>：</w:t>
      </w:r>
      <w:r>
        <w:rPr>
          <w:rFonts w:ascii="Times New Roman" w:eastAsia="Times New Roman"/>
          <w:sz w:val="21"/>
          <w:u w:val="single"/>
        </w:rPr>
        <w:tab/>
      </w:r>
      <w:r>
        <w:rPr>
          <w:rFonts w:ascii="Times New Roman" w:eastAsia="Times New Roman"/>
          <w:sz w:val="21"/>
          <w:u w:val="none"/>
        </w:rPr>
        <w:t xml:space="preserve"> </w:t>
      </w:r>
      <w:r>
        <w:rPr>
          <w:sz w:val="21"/>
          <w:u w:val="none"/>
        </w:rPr>
        <w:t>（盖单位章）</w:t>
      </w:r>
    </w:p>
    <w:p w14:paraId="06C6310F">
      <w:pPr>
        <w:pStyle w:val="10"/>
        <w:rPr>
          <w:sz w:val="21"/>
        </w:rPr>
      </w:pPr>
    </w:p>
    <w:p w14:paraId="4CA2C285">
      <w:pPr>
        <w:pStyle w:val="10"/>
        <w:spacing w:before="261"/>
        <w:rPr>
          <w:sz w:val="21"/>
        </w:rPr>
      </w:pPr>
    </w:p>
    <w:p w14:paraId="3A05A78A">
      <w:pPr>
        <w:tabs>
          <w:tab w:val="left" w:pos="630"/>
          <w:tab w:val="left" w:pos="1261"/>
          <w:tab w:val="left" w:pos="1892"/>
        </w:tabs>
        <w:spacing w:before="1"/>
        <w:ind w:left="0" w:right="880" w:firstLine="0"/>
        <w:jc w:val="righ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245C87F8">
      <w:pPr>
        <w:pStyle w:val="10"/>
        <w:spacing w:before="41"/>
        <w:rPr>
          <w:sz w:val="21"/>
        </w:rPr>
      </w:pPr>
    </w:p>
    <w:p w14:paraId="6FA2B47B">
      <w:pPr>
        <w:spacing w:before="0" w:line="237" w:lineRule="auto"/>
        <w:ind w:left="802" w:right="860" w:firstLine="420"/>
        <w:jc w:val="left"/>
        <w:rPr>
          <w:sz w:val="21"/>
        </w:rPr>
      </w:pPr>
      <w:r>
        <w:rPr>
          <w:spacing w:val="-4"/>
          <w:sz w:val="21"/>
        </w:rPr>
        <w:t>备注：招标人对招标文件有关问题澄清时，适用本格式。招标人可根据需要将附表二与</w:t>
      </w:r>
      <w:r>
        <w:rPr>
          <w:spacing w:val="-2"/>
          <w:sz w:val="21"/>
        </w:rPr>
        <w:t>附表三内容合并发出。</w:t>
      </w:r>
    </w:p>
    <w:p w14:paraId="342DDCA6">
      <w:pPr>
        <w:spacing w:after="0" w:line="237" w:lineRule="auto"/>
        <w:jc w:val="left"/>
        <w:rPr>
          <w:sz w:val="21"/>
        </w:rPr>
        <w:sectPr>
          <w:pgSz w:w="11910" w:h="16850"/>
          <w:pgMar w:top="1560" w:right="920" w:bottom="1060" w:left="1000" w:header="0" w:footer="866" w:gutter="0"/>
          <w:cols w:space="720" w:num="1"/>
        </w:sectPr>
      </w:pPr>
    </w:p>
    <w:p w14:paraId="68E5EFE2">
      <w:pPr>
        <w:pStyle w:val="10"/>
        <w:spacing w:before="37"/>
        <w:ind w:left="1087"/>
      </w:pPr>
      <w:bookmarkStart w:id="240" w:name="附表三：招标文件修改通知"/>
      <w:bookmarkEnd w:id="240"/>
      <w:r>
        <w:rPr>
          <w:spacing w:val="-1"/>
        </w:rPr>
        <w:t>附表三：招标文件修改通知</w:t>
      </w:r>
    </w:p>
    <w:p w14:paraId="17B43A3E">
      <w:pPr>
        <w:pStyle w:val="10"/>
      </w:pPr>
    </w:p>
    <w:p w14:paraId="00F607FF">
      <w:pPr>
        <w:pStyle w:val="10"/>
        <w:spacing w:before="194"/>
      </w:pPr>
    </w:p>
    <w:p w14:paraId="5E3C80EC">
      <w:pPr>
        <w:spacing w:before="0"/>
        <w:ind w:left="0" w:right="78" w:firstLine="0"/>
        <w:jc w:val="center"/>
        <w:rPr>
          <w:sz w:val="28"/>
        </w:rPr>
      </w:pPr>
      <w:r>
        <w:rPr>
          <w:spacing w:val="1"/>
          <w:sz w:val="28"/>
        </w:rPr>
        <w:t>招标文件修改通知</w:t>
      </w:r>
    </w:p>
    <w:p w14:paraId="40596BC0">
      <w:pPr>
        <w:pStyle w:val="10"/>
        <w:rPr>
          <w:sz w:val="21"/>
        </w:rPr>
      </w:pPr>
    </w:p>
    <w:p w14:paraId="6D51060D">
      <w:pPr>
        <w:pStyle w:val="10"/>
        <w:rPr>
          <w:sz w:val="21"/>
        </w:rPr>
      </w:pPr>
    </w:p>
    <w:p w14:paraId="051D9887">
      <w:pPr>
        <w:pStyle w:val="10"/>
        <w:spacing w:before="14"/>
        <w:rPr>
          <w:sz w:val="21"/>
        </w:rPr>
      </w:pPr>
    </w:p>
    <w:p w14:paraId="07A7D3D8">
      <w:pPr>
        <w:tabs>
          <w:tab w:val="left" w:pos="7788"/>
        </w:tabs>
        <w:spacing w:before="0"/>
        <w:ind w:left="6269" w:right="0" w:firstLine="0"/>
        <w:jc w:val="lef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1DF2BC1D">
      <w:pPr>
        <w:pStyle w:val="10"/>
        <w:rPr>
          <w:rFonts w:ascii="Times New Roman"/>
          <w:sz w:val="21"/>
        </w:rPr>
      </w:pPr>
    </w:p>
    <w:p w14:paraId="54051279">
      <w:pPr>
        <w:pStyle w:val="10"/>
        <w:spacing w:before="220"/>
        <w:rPr>
          <w:rFonts w:ascii="Times New Roman"/>
          <w:sz w:val="21"/>
        </w:rPr>
      </w:pPr>
    </w:p>
    <w:p w14:paraId="2AF00C15">
      <w:pPr>
        <w:spacing w:before="0"/>
        <w:ind w:left="1223" w:right="0" w:firstLine="0"/>
        <w:jc w:val="left"/>
        <w:rPr>
          <w:sz w:val="21"/>
        </w:rPr>
      </w:pPr>
      <w:r>
        <w:rPr>
          <w:spacing w:val="-2"/>
          <w:sz w:val="21"/>
        </w:rPr>
        <w:t>各投标人：</w:t>
      </w:r>
    </w:p>
    <w:p w14:paraId="731EFDCD">
      <w:pPr>
        <w:pStyle w:val="10"/>
        <w:spacing w:before="10"/>
        <w:rPr>
          <w:sz w:val="21"/>
        </w:rPr>
      </w:pPr>
    </w:p>
    <w:p w14:paraId="2D1A3768">
      <w:pPr>
        <w:tabs>
          <w:tab w:val="left" w:pos="3024"/>
          <w:tab w:val="left" w:pos="4584"/>
          <w:tab w:val="left" w:pos="6344"/>
        </w:tabs>
        <w:spacing w:before="0"/>
        <w:ind w:left="1223" w:right="0" w:firstLine="0"/>
        <w:jc w:val="left"/>
        <w:rPr>
          <w:sz w:val="21"/>
        </w:rPr>
      </w:pPr>
      <w:r>
        <w:rPr>
          <w:sz w:val="21"/>
        </w:rPr>
        <w:t>经研究，</w:t>
      </w:r>
      <w:r>
        <w:rPr>
          <w:spacing w:val="-10"/>
          <w:sz w:val="21"/>
        </w:rPr>
        <w:t>对</w:t>
      </w:r>
      <w:r>
        <w:rPr>
          <w:rFonts w:ascii="Calibri" w:eastAsia="Calibri"/>
          <w:sz w:val="21"/>
          <w:u w:val="single"/>
        </w:rPr>
        <w:tab/>
      </w:r>
      <w:r>
        <w:rPr>
          <w:rFonts w:ascii="Calibri" w:eastAsia="Calibri"/>
          <w:sz w:val="21"/>
          <w:u w:val="none"/>
        </w:rPr>
        <w:t>(</w:t>
      </w:r>
      <w:r>
        <w:rPr>
          <w:sz w:val="21"/>
          <w:u w:val="none"/>
        </w:rPr>
        <w:t>项目</w:t>
      </w:r>
      <w:r>
        <w:rPr>
          <w:spacing w:val="11"/>
          <w:sz w:val="21"/>
          <w:u w:val="none"/>
        </w:rPr>
        <w:t>名</w:t>
      </w:r>
      <w:r>
        <w:rPr>
          <w:sz w:val="21"/>
          <w:u w:val="none"/>
        </w:rPr>
        <w:t>称</w:t>
      </w:r>
      <w:r>
        <w:rPr>
          <w:rFonts w:ascii="Calibri" w:eastAsia="Calibri"/>
          <w:spacing w:val="-10"/>
          <w:sz w:val="21"/>
          <w:u w:val="none"/>
        </w:rPr>
        <w:t>)</w:t>
      </w:r>
      <w:r>
        <w:rPr>
          <w:rFonts w:ascii="Calibri" w:eastAsia="Calibri"/>
          <w:sz w:val="21"/>
          <w:u w:val="single"/>
        </w:rPr>
        <w:tab/>
      </w:r>
      <w:r>
        <w:rPr>
          <w:rFonts w:ascii="Calibri" w:eastAsia="Calibri"/>
          <w:sz w:val="21"/>
          <w:u w:val="none"/>
        </w:rPr>
        <w:t xml:space="preserve"> </w:t>
      </w:r>
      <w:r>
        <w:rPr>
          <w:sz w:val="21"/>
          <w:u w:val="none"/>
        </w:rPr>
        <w:t>（标段名称）</w:t>
      </w:r>
      <w:r>
        <w:rPr>
          <w:rFonts w:ascii="Times New Roman" w:eastAsia="Times New Roman"/>
          <w:sz w:val="21"/>
          <w:u w:val="single"/>
        </w:rPr>
        <w:tab/>
      </w:r>
      <w:r>
        <w:rPr>
          <w:sz w:val="21"/>
          <w:u w:val="none"/>
        </w:rPr>
        <w:t>（服务</w:t>
      </w:r>
      <w:r>
        <w:rPr>
          <w:spacing w:val="13"/>
          <w:sz w:val="21"/>
          <w:u w:val="none"/>
        </w:rPr>
        <w:t>名</w:t>
      </w:r>
      <w:r>
        <w:rPr>
          <w:sz w:val="21"/>
          <w:u w:val="none"/>
        </w:rPr>
        <w:t>称）招标文件</w:t>
      </w:r>
      <w:r>
        <w:rPr>
          <w:spacing w:val="13"/>
          <w:sz w:val="21"/>
          <w:u w:val="none"/>
        </w:rPr>
        <w:t>，</w:t>
      </w:r>
      <w:r>
        <w:rPr>
          <w:sz w:val="21"/>
          <w:u w:val="none"/>
        </w:rPr>
        <w:t>作</w:t>
      </w:r>
      <w:r>
        <w:rPr>
          <w:spacing w:val="-10"/>
          <w:sz w:val="21"/>
          <w:u w:val="none"/>
        </w:rPr>
        <w:t>如</w:t>
      </w:r>
    </w:p>
    <w:p w14:paraId="33EC634E">
      <w:pPr>
        <w:pStyle w:val="10"/>
        <w:spacing w:before="9"/>
        <w:rPr>
          <w:sz w:val="21"/>
        </w:rPr>
      </w:pPr>
    </w:p>
    <w:p w14:paraId="1A109F84">
      <w:pPr>
        <w:spacing w:before="0"/>
        <w:ind w:left="802" w:right="0" w:firstLine="0"/>
        <w:jc w:val="left"/>
        <w:rPr>
          <w:sz w:val="21"/>
        </w:rPr>
      </w:pPr>
      <w:r>
        <w:rPr>
          <w:spacing w:val="-3"/>
          <w:sz w:val="21"/>
        </w:rPr>
        <w:t>下修改：</w:t>
      </w:r>
    </w:p>
    <w:p w14:paraId="333C9E19">
      <w:pPr>
        <w:pStyle w:val="82"/>
        <w:numPr>
          <w:ilvl w:val="0"/>
          <w:numId w:val="20"/>
        </w:numPr>
        <w:tabs>
          <w:tab w:val="left" w:pos="1386"/>
        </w:tabs>
        <w:spacing w:before="56" w:after="0" w:line="256" w:lineRule="exact"/>
        <w:ind w:left="1386" w:right="0" w:hanging="163"/>
        <w:jc w:val="left"/>
        <w:rPr>
          <w:rFonts w:ascii="Calibri" w:hAnsi="Calibri"/>
          <w:sz w:val="21"/>
        </w:rPr>
      </w:pPr>
      <w:r>
        <w:rPr>
          <w:rFonts w:ascii="Calibri" w:hAnsi="Calibri"/>
          <w:spacing w:val="-5"/>
          <w:sz w:val="21"/>
        </w:rPr>
        <w:t>……</w:t>
      </w:r>
    </w:p>
    <w:p w14:paraId="7748ED97">
      <w:pPr>
        <w:pStyle w:val="82"/>
        <w:numPr>
          <w:ilvl w:val="0"/>
          <w:numId w:val="20"/>
        </w:numPr>
        <w:tabs>
          <w:tab w:val="left" w:pos="1386"/>
        </w:tabs>
        <w:spacing w:before="0" w:after="0" w:line="256" w:lineRule="exact"/>
        <w:ind w:left="1386" w:right="0" w:hanging="163"/>
        <w:jc w:val="left"/>
        <w:rPr>
          <w:rFonts w:ascii="Calibri" w:hAnsi="Calibri"/>
          <w:sz w:val="21"/>
        </w:rPr>
      </w:pPr>
      <w:r>
        <w:rPr>
          <w:rFonts w:ascii="Calibri" w:hAnsi="Calibri"/>
          <w:spacing w:val="-5"/>
          <w:sz w:val="21"/>
        </w:rPr>
        <w:t>……</w:t>
      </w:r>
    </w:p>
    <w:p w14:paraId="3A0644BE">
      <w:pPr>
        <w:pStyle w:val="10"/>
        <w:rPr>
          <w:rFonts w:ascii="Calibri"/>
          <w:sz w:val="21"/>
        </w:rPr>
      </w:pPr>
    </w:p>
    <w:p w14:paraId="329F0CFD">
      <w:pPr>
        <w:pStyle w:val="10"/>
        <w:rPr>
          <w:rFonts w:ascii="Calibri"/>
          <w:sz w:val="21"/>
        </w:rPr>
      </w:pPr>
    </w:p>
    <w:p w14:paraId="5AA11BAA">
      <w:pPr>
        <w:pStyle w:val="10"/>
        <w:rPr>
          <w:rFonts w:ascii="Calibri"/>
          <w:sz w:val="21"/>
        </w:rPr>
      </w:pPr>
    </w:p>
    <w:p w14:paraId="7A432FCE">
      <w:pPr>
        <w:pStyle w:val="10"/>
        <w:spacing w:before="251"/>
        <w:rPr>
          <w:rFonts w:ascii="Calibri"/>
          <w:sz w:val="21"/>
        </w:rPr>
      </w:pPr>
    </w:p>
    <w:p w14:paraId="524B1D31">
      <w:pPr>
        <w:tabs>
          <w:tab w:val="left" w:pos="7788"/>
        </w:tabs>
        <w:spacing w:before="0"/>
        <w:ind w:left="5007" w:right="0" w:firstLine="0"/>
        <w:jc w:val="left"/>
        <w:rPr>
          <w:sz w:val="21"/>
        </w:rPr>
      </w:pPr>
      <w:r>
        <w:rPr>
          <w:sz w:val="21"/>
        </w:rPr>
        <w:t>招标人</w:t>
      </w:r>
      <w:r>
        <w:rPr>
          <w:spacing w:val="-10"/>
          <w:sz w:val="21"/>
        </w:rPr>
        <w:t>：</w:t>
      </w:r>
      <w:r>
        <w:rPr>
          <w:rFonts w:ascii="Times New Roman" w:eastAsia="Times New Roman"/>
          <w:sz w:val="21"/>
          <w:u w:val="single"/>
        </w:rPr>
        <w:tab/>
      </w:r>
      <w:r>
        <w:rPr>
          <w:rFonts w:ascii="Times New Roman" w:eastAsia="Times New Roman"/>
          <w:sz w:val="21"/>
          <w:u w:val="none"/>
        </w:rPr>
        <w:t xml:space="preserve"> </w:t>
      </w:r>
      <w:r>
        <w:rPr>
          <w:sz w:val="21"/>
          <w:u w:val="none"/>
        </w:rPr>
        <w:t>（盖单位章）</w:t>
      </w:r>
    </w:p>
    <w:p w14:paraId="462F8747">
      <w:pPr>
        <w:pStyle w:val="10"/>
        <w:rPr>
          <w:sz w:val="21"/>
        </w:rPr>
      </w:pPr>
    </w:p>
    <w:p w14:paraId="07CFCC16">
      <w:pPr>
        <w:pStyle w:val="10"/>
        <w:spacing w:before="262"/>
        <w:rPr>
          <w:sz w:val="21"/>
        </w:rPr>
      </w:pPr>
    </w:p>
    <w:p w14:paraId="0B2C4BAE">
      <w:pPr>
        <w:tabs>
          <w:tab w:val="left" w:pos="525"/>
          <w:tab w:val="left" w:pos="1156"/>
          <w:tab w:val="left" w:pos="1787"/>
        </w:tabs>
        <w:spacing w:before="0"/>
        <w:ind w:left="0" w:right="880" w:firstLine="0"/>
        <w:jc w:val="righ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58CD59BB">
      <w:pPr>
        <w:pStyle w:val="10"/>
        <w:rPr>
          <w:sz w:val="21"/>
        </w:rPr>
      </w:pPr>
    </w:p>
    <w:p w14:paraId="7705D0DC">
      <w:pPr>
        <w:pStyle w:val="10"/>
        <w:rPr>
          <w:sz w:val="21"/>
        </w:rPr>
      </w:pPr>
    </w:p>
    <w:p w14:paraId="4404C865">
      <w:pPr>
        <w:pStyle w:val="10"/>
        <w:rPr>
          <w:sz w:val="21"/>
        </w:rPr>
      </w:pPr>
    </w:p>
    <w:p w14:paraId="77DF5006">
      <w:pPr>
        <w:pStyle w:val="10"/>
        <w:spacing w:before="76"/>
        <w:rPr>
          <w:sz w:val="21"/>
        </w:rPr>
      </w:pPr>
    </w:p>
    <w:p w14:paraId="32D7E6DC">
      <w:pPr>
        <w:spacing w:before="0"/>
        <w:ind w:left="1223" w:right="0" w:firstLine="0"/>
        <w:jc w:val="left"/>
        <w:rPr>
          <w:sz w:val="21"/>
        </w:rPr>
      </w:pPr>
      <w:r>
        <w:rPr>
          <w:spacing w:val="-1"/>
          <w:sz w:val="21"/>
        </w:rPr>
        <w:t>备注：招标人对招标文件有关问题修改时，适用本格式。</w:t>
      </w:r>
    </w:p>
    <w:p w14:paraId="6F741B51">
      <w:pPr>
        <w:spacing w:after="0"/>
        <w:jc w:val="left"/>
        <w:rPr>
          <w:sz w:val="21"/>
        </w:rPr>
        <w:sectPr>
          <w:pgSz w:w="11910" w:h="16850"/>
          <w:pgMar w:top="1560" w:right="920" w:bottom="1060" w:left="1000" w:header="0" w:footer="866" w:gutter="0"/>
          <w:cols w:space="720" w:num="1"/>
        </w:sectPr>
      </w:pPr>
    </w:p>
    <w:p w14:paraId="61A76B10">
      <w:pPr>
        <w:pStyle w:val="10"/>
        <w:spacing w:before="37"/>
        <w:ind w:left="1087"/>
      </w:pPr>
      <w:bookmarkStart w:id="241" w:name="附表四：投标文件递交签收凭证"/>
      <w:bookmarkEnd w:id="241"/>
      <w:r>
        <w:rPr>
          <w:spacing w:val="-1"/>
        </w:rPr>
        <w:t>附表四：投标文件递交签收凭证</w:t>
      </w:r>
    </w:p>
    <w:p w14:paraId="5F083ACC">
      <w:pPr>
        <w:pStyle w:val="10"/>
        <w:spacing w:before="55"/>
      </w:pPr>
    </w:p>
    <w:p w14:paraId="64DB2E4E">
      <w:pPr>
        <w:spacing w:before="0"/>
        <w:ind w:left="0" w:right="93" w:firstLine="0"/>
        <w:jc w:val="center"/>
        <w:rPr>
          <w:sz w:val="28"/>
        </w:rPr>
      </w:pPr>
      <w:r>
        <w:rPr>
          <w:spacing w:val="-2"/>
          <w:sz w:val="28"/>
        </w:rPr>
        <w:t>投标文件递交签收凭证</w:t>
      </w:r>
    </w:p>
    <w:p w14:paraId="54BF04CB">
      <w:pPr>
        <w:pStyle w:val="10"/>
        <w:spacing w:before="5"/>
        <w:rPr>
          <w:sz w:val="19"/>
        </w:rPr>
      </w:pPr>
    </w:p>
    <w:tbl>
      <w:tblPr>
        <w:tblStyle w:val="24"/>
        <w:tblW w:w="0" w:type="auto"/>
        <w:tblInd w:w="8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3"/>
        <w:gridCol w:w="6128"/>
      </w:tblGrid>
      <w:tr w14:paraId="77E1F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103" w:type="dxa"/>
          </w:tcPr>
          <w:p w14:paraId="5448028F">
            <w:pPr>
              <w:pStyle w:val="37"/>
              <w:spacing w:before="266"/>
              <w:ind w:left="31" w:right="1"/>
              <w:jc w:val="center"/>
              <w:rPr>
                <w:sz w:val="21"/>
              </w:rPr>
            </w:pPr>
            <w:r>
              <w:rPr>
                <w:spacing w:val="-3"/>
                <w:sz w:val="21"/>
              </w:rPr>
              <w:t>工程名称</w:t>
            </w:r>
          </w:p>
        </w:tc>
        <w:tc>
          <w:tcPr>
            <w:tcW w:w="6128" w:type="dxa"/>
          </w:tcPr>
          <w:p w14:paraId="6AE1BD65">
            <w:pPr>
              <w:pStyle w:val="37"/>
              <w:tabs>
                <w:tab w:val="left" w:pos="646"/>
                <w:tab w:val="left" w:pos="2433"/>
                <w:tab w:val="left" w:pos="4115"/>
              </w:tabs>
              <w:spacing w:before="266"/>
              <w:ind w:left="15"/>
              <w:jc w:val="center"/>
              <w:rPr>
                <w:sz w:val="21"/>
              </w:rPr>
            </w:pPr>
            <w:r>
              <w:rPr>
                <w:rFonts w:ascii="Times New Roman" w:eastAsia="Times New Roman"/>
                <w:sz w:val="21"/>
                <w:u w:val="single"/>
              </w:rPr>
              <w:tab/>
            </w:r>
            <w:r>
              <w:rPr>
                <w:sz w:val="21"/>
                <w:u w:val="none"/>
              </w:rPr>
              <w:t>（项目名称</w:t>
            </w:r>
            <w:r>
              <w:rPr>
                <w:spacing w:val="-10"/>
                <w:sz w:val="21"/>
                <w:u w:val="none"/>
              </w:rPr>
              <w:t>）</w:t>
            </w:r>
            <w:r>
              <w:rPr>
                <w:rFonts w:ascii="Times New Roman" w:eastAsia="Times New Roman"/>
                <w:sz w:val="21"/>
                <w:u w:val="single"/>
              </w:rPr>
              <w:tab/>
            </w:r>
            <w:r>
              <w:rPr>
                <w:sz w:val="21"/>
                <w:u w:val="none"/>
              </w:rPr>
              <w:t>（标段名称</w:t>
            </w:r>
            <w:r>
              <w:rPr>
                <w:spacing w:val="-10"/>
                <w:sz w:val="21"/>
                <w:u w:val="none"/>
              </w:rPr>
              <w:t>）</w:t>
            </w:r>
            <w:r>
              <w:rPr>
                <w:rFonts w:ascii="Times New Roman" w:eastAsia="Times New Roman"/>
                <w:sz w:val="21"/>
                <w:u w:val="single"/>
              </w:rPr>
              <w:tab/>
            </w:r>
            <w:r>
              <w:rPr>
                <w:sz w:val="21"/>
                <w:u w:val="none"/>
              </w:rPr>
              <w:t>（服务名称</w:t>
            </w:r>
            <w:r>
              <w:rPr>
                <w:spacing w:val="-10"/>
                <w:sz w:val="21"/>
                <w:u w:val="none"/>
              </w:rPr>
              <w:t>）</w:t>
            </w:r>
          </w:p>
        </w:tc>
      </w:tr>
      <w:tr w14:paraId="7675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3" w:type="dxa"/>
            <w:tcBorders>
              <w:bottom w:val="single" w:color="000000" w:sz="8" w:space="0"/>
            </w:tcBorders>
          </w:tcPr>
          <w:p w14:paraId="66CB12B8">
            <w:pPr>
              <w:pStyle w:val="37"/>
              <w:spacing w:before="266"/>
              <w:ind w:left="31" w:right="1"/>
              <w:jc w:val="center"/>
              <w:rPr>
                <w:sz w:val="21"/>
              </w:rPr>
            </w:pPr>
            <w:r>
              <w:rPr>
                <w:spacing w:val="-4"/>
                <w:sz w:val="21"/>
              </w:rPr>
              <w:t>招标人</w:t>
            </w:r>
          </w:p>
        </w:tc>
        <w:tc>
          <w:tcPr>
            <w:tcW w:w="6128" w:type="dxa"/>
            <w:tcBorders>
              <w:bottom w:val="single" w:color="000000" w:sz="8" w:space="0"/>
            </w:tcBorders>
          </w:tcPr>
          <w:p w14:paraId="069855A4">
            <w:pPr>
              <w:pStyle w:val="37"/>
              <w:rPr>
                <w:rFonts w:ascii="Times New Roman"/>
                <w:sz w:val="22"/>
              </w:rPr>
            </w:pPr>
          </w:p>
        </w:tc>
      </w:tr>
      <w:tr w14:paraId="45D4C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03" w:type="dxa"/>
            <w:tcBorders>
              <w:top w:val="single" w:color="000000" w:sz="8" w:space="0"/>
            </w:tcBorders>
          </w:tcPr>
          <w:p w14:paraId="5149B815">
            <w:pPr>
              <w:pStyle w:val="37"/>
              <w:spacing w:before="264"/>
              <w:ind w:left="31"/>
              <w:jc w:val="center"/>
              <w:rPr>
                <w:sz w:val="21"/>
              </w:rPr>
            </w:pPr>
            <w:r>
              <w:rPr>
                <w:spacing w:val="-2"/>
                <w:sz w:val="21"/>
              </w:rPr>
              <w:t>招标代理机构</w:t>
            </w:r>
          </w:p>
        </w:tc>
        <w:tc>
          <w:tcPr>
            <w:tcW w:w="6128" w:type="dxa"/>
            <w:tcBorders>
              <w:top w:val="single" w:color="000000" w:sz="8" w:space="0"/>
            </w:tcBorders>
          </w:tcPr>
          <w:p w14:paraId="0759913A">
            <w:pPr>
              <w:pStyle w:val="37"/>
              <w:rPr>
                <w:rFonts w:ascii="Times New Roman"/>
                <w:sz w:val="22"/>
              </w:rPr>
            </w:pPr>
          </w:p>
        </w:tc>
      </w:tr>
      <w:tr w14:paraId="074D1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103" w:type="dxa"/>
          </w:tcPr>
          <w:p w14:paraId="21EFBFF0">
            <w:pPr>
              <w:pStyle w:val="37"/>
              <w:spacing w:before="266"/>
              <w:ind w:left="31" w:right="1"/>
              <w:jc w:val="center"/>
              <w:rPr>
                <w:sz w:val="21"/>
              </w:rPr>
            </w:pPr>
            <w:r>
              <w:rPr>
                <w:spacing w:val="-4"/>
                <w:sz w:val="21"/>
              </w:rPr>
              <w:t>投标人</w:t>
            </w:r>
          </w:p>
        </w:tc>
        <w:tc>
          <w:tcPr>
            <w:tcW w:w="6128" w:type="dxa"/>
          </w:tcPr>
          <w:p w14:paraId="4E1CC3EF">
            <w:pPr>
              <w:pStyle w:val="37"/>
              <w:rPr>
                <w:rFonts w:ascii="Times New Roman"/>
                <w:sz w:val="22"/>
              </w:rPr>
            </w:pPr>
          </w:p>
        </w:tc>
      </w:tr>
      <w:tr w14:paraId="7079E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103" w:type="dxa"/>
          </w:tcPr>
          <w:p w14:paraId="27CBF17B">
            <w:pPr>
              <w:pStyle w:val="37"/>
              <w:spacing w:before="266"/>
              <w:ind w:left="31" w:right="1"/>
              <w:jc w:val="center"/>
              <w:rPr>
                <w:sz w:val="21"/>
              </w:rPr>
            </w:pPr>
            <w:r>
              <w:rPr>
                <w:spacing w:val="-2"/>
                <w:sz w:val="21"/>
              </w:rPr>
              <w:t>投标文件递交时间</w:t>
            </w:r>
          </w:p>
        </w:tc>
        <w:tc>
          <w:tcPr>
            <w:tcW w:w="6128" w:type="dxa"/>
          </w:tcPr>
          <w:p w14:paraId="3A994B45">
            <w:pPr>
              <w:pStyle w:val="37"/>
              <w:tabs>
                <w:tab w:val="left" w:pos="539"/>
                <w:tab w:val="left" w:pos="1169"/>
                <w:tab w:val="left" w:pos="1800"/>
                <w:tab w:val="left" w:pos="2431"/>
                <w:tab w:val="left" w:pos="3062"/>
              </w:tabs>
              <w:spacing w:before="266"/>
              <w:ind w:left="13"/>
              <w:jc w:val="center"/>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r>
              <w:rPr>
                <w:rFonts w:ascii="Times New Roman" w:eastAsia="Times New Roman"/>
                <w:sz w:val="21"/>
                <w:u w:val="single"/>
              </w:rPr>
              <w:tab/>
            </w:r>
            <w:r>
              <w:rPr>
                <w:spacing w:val="-10"/>
                <w:sz w:val="21"/>
                <w:u w:val="none"/>
              </w:rPr>
              <w:t>时</w:t>
            </w:r>
            <w:r>
              <w:rPr>
                <w:rFonts w:ascii="Times New Roman" w:eastAsia="Times New Roman"/>
                <w:sz w:val="21"/>
                <w:u w:val="single"/>
              </w:rPr>
              <w:tab/>
            </w:r>
            <w:r>
              <w:rPr>
                <w:spacing w:val="-10"/>
                <w:sz w:val="21"/>
                <w:u w:val="none"/>
              </w:rPr>
              <w:t>分</w:t>
            </w:r>
          </w:p>
        </w:tc>
      </w:tr>
      <w:tr w14:paraId="3F7FF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103" w:type="dxa"/>
          </w:tcPr>
          <w:p w14:paraId="2B5BB41C">
            <w:pPr>
              <w:pStyle w:val="37"/>
              <w:spacing w:before="266"/>
              <w:ind w:left="31" w:right="1"/>
              <w:jc w:val="center"/>
              <w:rPr>
                <w:sz w:val="21"/>
              </w:rPr>
            </w:pPr>
            <w:r>
              <w:rPr>
                <w:spacing w:val="-2"/>
                <w:sz w:val="21"/>
              </w:rPr>
              <w:t>投标文件是否加密</w:t>
            </w:r>
          </w:p>
        </w:tc>
        <w:tc>
          <w:tcPr>
            <w:tcW w:w="6128" w:type="dxa"/>
          </w:tcPr>
          <w:p w14:paraId="2C503BE3">
            <w:pPr>
              <w:pStyle w:val="37"/>
              <w:rPr>
                <w:rFonts w:ascii="Times New Roman"/>
                <w:sz w:val="22"/>
              </w:rPr>
            </w:pPr>
          </w:p>
        </w:tc>
      </w:tr>
    </w:tbl>
    <w:p w14:paraId="43A17022">
      <w:pPr>
        <w:spacing w:after="0"/>
        <w:rPr>
          <w:rFonts w:ascii="Times New Roman"/>
          <w:sz w:val="22"/>
        </w:rPr>
        <w:sectPr>
          <w:pgSz w:w="11910" w:h="16850"/>
          <w:pgMar w:top="1560" w:right="920" w:bottom="1060" w:left="1000" w:header="0" w:footer="866" w:gutter="0"/>
          <w:cols w:space="720" w:num="1"/>
        </w:sectPr>
      </w:pPr>
    </w:p>
    <w:p w14:paraId="547FD21E">
      <w:pPr>
        <w:pStyle w:val="10"/>
        <w:spacing w:before="37"/>
        <w:ind w:left="1087"/>
      </w:pPr>
      <w:bookmarkStart w:id="242" w:name="附表五：开标记录表"/>
      <w:bookmarkEnd w:id="242"/>
      <w:r>
        <w:rPr>
          <w:spacing w:val="-2"/>
        </w:rPr>
        <w:t>附表五：开标记录表</w:t>
      </w:r>
    </w:p>
    <w:p w14:paraId="56A98DC2">
      <w:pPr>
        <w:tabs>
          <w:tab w:val="left" w:pos="3835"/>
          <w:tab w:val="left" w:pos="6043"/>
        </w:tabs>
        <w:spacing w:before="7"/>
        <w:ind w:left="1493" w:right="0" w:firstLine="0"/>
        <w:jc w:val="left"/>
        <w:rPr>
          <w:sz w:val="28"/>
        </w:rPr>
      </w:pPr>
      <w:r>
        <mc:AlternateContent>
          <mc:Choice Requires="wps">
            <w:drawing>
              <wp:anchor distT="0" distB="0" distL="0" distR="0" simplePos="0" relativeHeight="251659264" behindDoc="0" locked="0" layoutInCell="1" allowOverlap="1">
                <wp:simplePos x="0" y="0"/>
                <wp:positionH relativeFrom="page">
                  <wp:posOffset>1144270</wp:posOffset>
                </wp:positionH>
                <wp:positionV relativeFrom="paragraph">
                  <wp:posOffset>213995</wp:posOffset>
                </wp:positionV>
                <wp:extent cx="5274310" cy="9525"/>
                <wp:effectExtent l="0" t="0" r="0" b="0"/>
                <wp:wrapNone/>
                <wp:docPr id="1" name="Graphic 7"/>
                <wp:cNvGraphicFramePr/>
                <a:graphic xmlns:a="http://schemas.openxmlformats.org/drawingml/2006/main">
                  <a:graphicData uri="http://schemas.microsoft.com/office/word/2010/wordprocessingShape">
                    <wps:wsp>
                      <wps:cNvSpPr/>
                      <wps:spPr>
                        <a:xfrm>
                          <a:off x="0" y="0"/>
                          <a:ext cx="5274310" cy="9525"/>
                        </a:xfrm>
                        <a:custGeom>
                          <a:avLst/>
                          <a:gdLst/>
                          <a:ahLst/>
                          <a:cxnLst/>
                          <a:rect l="l" t="t" r="r" b="b"/>
                          <a:pathLst>
                            <a:path w="5274310" h="9525">
                              <a:moveTo>
                                <a:pt x="5273929" y="0"/>
                              </a:moveTo>
                              <a:lnTo>
                                <a:pt x="0" y="0"/>
                              </a:lnTo>
                              <a:lnTo>
                                <a:pt x="0" y="9525"/>
                              </a:lnTo>
                              <a:lnTo>
                                <a:pt x="5273929" y="9525"/>
                              </a:lnTo>
                              <a:lnTo>
                                <a:pt x="5273929" y="0"/>
                              </a:lnTo>
                              <a:close/>
                            </a:path>
                          </a:pathLst>
                        </a:custGeom>
                        <a:solidFill>
                          <a:srgbClr val="000000"/>
                        </a:solidFill>
                      </wps:spPr>
                      <wps:bodyPr wrap="square" lIns="0" tIns="0" rIns="0" bIns="0" rtlCol="0">
                        <a:noAutofit/>
                      </wps:bodyPr>
                    </wps:wsp>
                  </a:graphicData>
                </a:graphic>
              </wp:anchor>
            </w:drawing>
          </mc:Choice>
          <mc:Fallback>
            <w:pict>
              <v:shape id="Graphic 7" o:spid="_x0000_s1026" o:spt="100" style="position:absolute;left:0pt;margin-left:90.1pt;margin-top:16.85pt;height:0.75pt;width:415.3pt;mso-position-horizontal-relative:page;z-index:251659264;mso-width-relative:page;mso-height-relative:page;" fillcolor="#000000" filled="t" stroked="f" coordsize="5274310,9525" o:gfxdata="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WgpqNdgA&#10;AAAKAQAADwAAAAAAAAABACAAAAAiAAAAZHJzL2Rvd25yZXYueG1sUEsBAhQAFAAAAAgAh07iQEj6&#10;RDkfAgAA3AQAAA4AAAAAAAAAAQAgAAAAJwEAAGRycy9lMm9Eb2MueG1sUEsFBgAAAAAGAAYAWQEA&#10;ALgFAAAAAA==&#10;" path="m5273929,0l0,0,0,9525,5273929,9525,5273929,0xe">
                <v:fill on="t" focussize="0,0"/>
                <v:stroke on="f"/>
                <v:imagedata o:title=""/>
                <o:lock v:ext="edit" aspectratio="f"/>
                <v:textbox inset="0mm,0mm,0mm,0mm"/>
              </v:shape>
            </w:pict>
          </mc:Fallback>
        </mc:AlternateContent>
      </w:r>
      <w:r>
        <w:rPr>
          <w:spacing w:val="-2"/>
          <w:sz w:val="28"/>
        </w:rPr>
        <w:t>（项目名称</w:t>
      </w:r>
      <w:r>
        <w:rPr>
          <w:spacing w:val="-10"/>
          <w:sz w:val="28"/>
        </w:rPr>
        <w:t>）</w:t>
      </w:r>
      <w:r>
        <w:rPr>
          <w:sz w:val="28"/>
        </w:rPr>
        <w:tab/>
      </w:r>
      <w:r>
        <w:rPr>
          <w:spacing w:val="-2"/>
          <w:sz w:val="28"/>
        </w:rPr>
        <w:t>（标段名称</w:t>
      </w:r>
      <w:r>
        <w:rPr>
          <w:spacing w:val="-10"/>
          <w:sz w:val="28"/>
        </w:rPr>
        <w:t>）</w:t>
      </w:r>
      <w:r>
        <w:rPr>
          <w:sz w:val="28"/>
        </w:rPr>
        <w:tab/>
      </w:r>
      <w:r>
        <w:rPr>
          <w:spacing w:val="-2"/>
          <w:sz w:val="28"/>
        </w:rPr>
        <w:t>（服务名称）开标记录</w:t>
      </w:r>
      <w:r>
        <w:rPr>
          <w:spacing w:val="-10"/>
          <w:sz w:val="28"/>
        </w:rPr>
        <w:t>表</w:t>
      </w:r>
    </w:p>
    <w:p w14:paraId="3DB925A9">
      <w:pPr>
        <w:tabs>
          <w:tab w:val="left" w:pos="2904"/>
          <w:tab w:val="left" w:pos="3535"/>
          <w:tab w:val="left" w:pos="4166"/>
          <w:tab w:val="left" w:pos="4797"/>
          <w:tab w:val="left" w:pos="5427"/>
        </w:tabs>
        <w:spacing w:before="173" w:after="16"/>
        <w:ind w:left="1223" w:right="0" w:firstLine="0"/>
        <w:jc w:val="left"/>
        <w:rPr>
          <w:sz w:val="21"/>
        </w:rPr>
      </w:pPr>
      <w:r>
        <w:rPr>
          <w:sz w:val="21"/>
        </w:rPr>
        <w:t>开标时间</w:t>
      </w:r>
      <w:r>
        <w:rPr>
          <w:spacing w:val="-10"/>
          <w:sz w:val="21"/>
        </w:rPr>
        <w:t>：</w:t>
      </w: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r>
        <w:rPr>
          <w:rFonts w:ascii="Times New Roman" w:eastAsia="Times New Roman"/>
          <w:sz w:val="21"/>
          <w:u w:val="single"/>
        </w:rPr>
        <w:tab/>
      </w:r>
      <w:r>
        <w:rPr>
          <w:spacing w:val="-10"/>
          <w:sz w:val="21"/>
          <w:u w:val="none"/>
        </w:rPr>
        <w:t>时</w:t>
      </w:r>
      <w:r>
        <w:rPr>
          <w:rFonts w:ascii="Times New Roman" w:eastAsia="Times New Roman"/>
          <w:sz w:val="21"/>
          <w:u w:val="single"/>
        </w:rPr>
        <w:tab/>
      </w:r>
      <w:r>
        <w:rPr>
          <w:spacing w:val="-10"/>
          <w:sz w:val="21"/>
          <w:u w:val="none"/>
        </w:rPr>
        <w:t>分</w:t>
      </w:r>
    </w:p>
    <w:tbl>
      <w:tblPr>
        <w:tblStyle w:val="24"/>
        <w:tblW w:w="0" w:type="auto"/>
        <w:tblInd w:w="7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86"/>
        <w:gridCol w:w="1653"/>
        <w:gridCol w:w="1007"/>
        <w:gridCol w:w="1022"/>
        <w:gridCol w:w="812"/>
        <w:gridCol w:w="661"/>
        <w:gridCol w:w="736"/>
        <w:gridCol w:w="811"/>
        <w:gridCol w:w="526"/>
        <w:gridCol w:w="947"/>
      </w:tblGrid>
      <w:tr w14:paraId="5146C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86" w:type="dxa"/>
            <w:vMerge w:val="restart"/>
          </w:tcPr>
          <w:p w14:paraId="799AA316">
            <w:pPr>
              <w:pStyle w:val="37"/>
              <w:spacing w:before="272"/>
              <w:rPr>
                <w:sz w:val="21"/>
              </w:rPr>
            </w:pPr>
          </w:p>
          <w:p w14:paraId="32D76A25">
            <w:pPr>
              <w:pStyle w:val="37"/>
              <w:spacing w:line="290" w:lineRule="auto"/>
              <w:ind w:left="52" w:right="6"/>
              <w:rPr>
                <w:rFonts w:ascii="微软雅黑" w:eastAsia="微软雅黑"/>
                <w:b/>
                <w:sz w:val="21"/>
              </w:rPr>
            </w:pPr>
            <w:r>
              <w:rPr>
                <w:rFonts w:ascii="微软雅黑" w:eastAsia="微软雅黑"/>
                <w:b/>
                <w:spacing w:val="-10"/>
                <w:sz w:val="21"/>
              </w:rPr>
              <w:t>序号</w:t>
            </w:r>
          </w:p>
        </w:tc>
        <w:tc>
          <w:tcPr>
            <w:tcW w:w="1653" w:type="dxa"/>
            <w:vMerge w:val="restart"/>
          </w:tcPr>
          <w:p w14:paraId="74198B06">
            <w:pPr>
              <w:pStyle w:val="37"/>
              <w:rPr>
                <w:sz w:val="21"/>
              </w:rPr>
            </w:pPr>
          </w:p>
          <w:p w14:paraId="3F67DC08">
            <w:pPr>
              <w:pStyle w:val="37"/>
              <w:spacing w:before="224"/>
              <w:rPr>
                <w:sz w:val="21"/>
              </w:rPr>
            </w:pPr>
          </w:p>
          <w:p w14:paraId="7A8FA326">
            <w:pPr>
              <w:pStyle w:val="37"/>
              <w:ind w:left="292"/>
              <w:rPr>
                <w:rFonts w:ascii="微软雅黑" w:eastAsia="微软雅黑"/>
                <w:b/>
                <w:sz w:val="21"/>
              </w:rPr>
            </w:pPr>
            <w:r>
              <w:rPr>
                <w:rFonts w:ascii="微软雅黑" w:eastAsia="微软雅黑"/>
                <w:b/>
                <w:spacing w:val="6"/>
                <w:sz w:val="21"/>
              </w:rPr>
              <w:t>投标人名称</w:t>
            </w:r>
          </w:p>
        </w:tc>
        <w:tc>
          <w:tcPr>
            <w:tcW w:w="1007" w:type="dxa"/>
            <w:vMerge w:val="restart"/>
          </w:tcPr>
          <w:p w14:paraId="0FB8660D">
            <w:pPr>
              <w:pStyle w:val="37"/>
              <w:spacing w:before="272"/>
              <w:rPr>
                <w:sz w:val="21"/>
              </w:rPr>
            </w:pPr>
          </w:p>
          <w:p w14:paraId="474D1AC8">
            <w:pPr>
              <w:pStyle w:val="37"/>
              <w:spacing w:line="290" w:lineRule="auto"/>
              <w:ind w:left="276" w:right="143" w:hanging="105"/>
              <w:rPr>
                <w:rFonts w:ascii="微软雅黑" w:eastAsia="微软雅黑"/>
                <w:b/>
                <w:sz w:val="21"/>
              </w:rPr>
            </w:pPr>
            <w:r>
              <w:rPr>
                <w:rFonts w:ascii="微软雅黑" w:eastAsia="微软雅黑"/>
                <w:b/>
                <w:spacing w:val="6"/>
                <w:sz w:val="21"/>
              </w:rPr>
              <w:t>投标保</w:t>
            </w:r>
            <w:r>
              <w:rPr>
                <w:rFonts w:ascii="微软雅黑" w:eastAsia="微软雅黑"/>
                <w:b/>
                <w:spacing w:val="9"/>
                <w:sz w:val="21"/>
              </w:rPr>
              <w:t>证金</w:t>
            </w:r>
          </w:p>
        </w:tc>
        <w:tc>
          <w:tcPr>
            <w:tcW w:w="1022" w:type="dxa"/>
            <w:vMerge w:val="restart"/>
          </w:tcPr>
          <w:p w14:paraId="374E3D04">
            <w:pPr>
              <w:pStyle w:val="37"/>
              <w:spacing w:before="272"/>
              <w:rPr>
                <w:sz w:val="21"/>
              </w:rPr>
            </w:pPr>
          </w:p>
          <w:p w14:paraId="314A27A5">
            <w:pPr>
              <w:pStyle w:val="37"/>
              <w:spacing w:line="290" w:lineRule="auto"/>
              <w:ind w:left="125" w:right="37" w:firstLine="60"/>
              <w:rPr>
                <w:rFonts w:ascii="微软雅黑" w:eastAsia="微软雅黑"/>
                <w:b/>
                <w:sz w:val="21"/>
              </w:rPr>
            </w:pPr>
            <w:r>
              <w:rPr>
                <w:rFonts w:ascii="微软雅黑" w:eastAsia="微软雅黑"/>
                <w:b/>
                <w:spacing w:val="11"/>
                <w:sz w:val="21"/>
              </w:rPr>
              <w:t>投标报</w:t>
            </w:r>
            <w:r>
              <w:rPr>
                <w:rFonts w:ascii="微软雅黑" w:eastAsia="微软雅黑"/>
                <w:b/>
                <w:sz w:val="21"/>
              </w:rPr>
              <w:t>价（元</w:t>
            </w:r>
            <w:r>
              <w:rPr>
                <w:rFonts w:ascii="微软雅黑" w:eastAsia="微软雅黑"/>
                <w:b/>
                <w:spacing w:val="-10"/>
                <w:sz w:val="21"/>
              </w:rPr>
              <w:t>）</w:t>
            </w:r>
          </w:p>
        </w:tc>
        <w:tc>
          <w:tcPr>
            <w:tcW w:w="812" w:type="dxa"/>
            <w:vMerge w:val="restart"/>
            <w:tcBorders>
              <w:right w:val="single" w:color="000000" w:sz="8" w:space="0"/>
            </w:tcBorders>
          </w:tcPr>
          <w:p w14:paraId="2A85FAF6">
            <w:pPr>
              <w:pStyle w:val="37"/>
              <w:spacing w:before="109" w:line="290" w:lineRule="auto"/>
              <w:ind w:left="170" w:right="171"/>
              <w:rPr>
                <w:rFonts w:ascii="微软雅黑" w:eastAsia="微软雅黑"/>
                <w:b/>
                <w:sz w:val="21"/>
              </w:rPr>
            </w:pPr>
            <w:r>
              <w:rPr>
                <w:rFonts w:ascii="微软雅黑" w:eastAsia="微软雅黑"/>
                <w:b/>
                <w:spacing w:val="2"/>
                <w:sz w:val="21"/>
              </w:rPr>
              <w:t>服务期限</w:t>
            </w:r>
          </w:p>
          <w:p w14:paraId="0F6BA551">
            <w:pPr>
              <w:pStyle w:val="37"/>
              <w:spacing w:line="359" w:lineRule="exact"/>
              <w:ind w:left="170"/>
              <w:rPr>
                <w:rFonts w:ascii="微软雅黑" w:eastAsia="微软雅黑"/>
                <w:b/>
                <w:sz w:val="21"/>
              </w:rPr>
            </w:pPr>
            <w:r>
              <w:rPr>
                <w:rFonts w:ascii="微软雅黑" w:eastAsia="微软雅黑"/>
                <w:b/>
                <w:spacing w:val="15"/>
                <w:sz w:val="21"/>
              </w:rPr>
              <w:t>（</w:t>
            </w:r>
            <w:r>
              <w:rPr>
                <w:rFonts w:ascii="微软雅黑" w:eastAsia="微软雅黑"/>
                <w:b/>
                <w:spacing w:val="5"/>
                <w:sz w:val="21"/>
              </w:rPr>
              <w:t>日</w:t>
            </w:r>
          </w:p>
          <w:p w14:paraId="0A3C5F7F">
            <w:pPr>
              <w:pStyle w:val="37"/>
              <w:spacing w:before="91" w:line="305" w:lineRule="exact"/>
              <w:ind w:left="110"/>
              <w:rPr>
                <w:rFonts w:ascii="微软雅黑" w:eastAsia="微软雅黑"/>
                <w:b/>
                <w:sz w:val="21"/>
              </w:rPr>
            </w:pPr>
            <w:r>
              <w:rPr>
                <w:rFonts w:ascii="微软雅黑" w:eastAsia="微软雅黑"/>
                <w:b/>
                <w:sz w:val="21"/>
              </w:rPr>
              <w:t>历天</w:t>
            </w:r>
            <w:r>
              <w:rPr>
                <w:rFonts w:ascii="微软雅黑" w:eastAsia="微软雅黑"/>
                <w:b/>
                <w:spacing w:val="-10"/>
                <w:sz w:val="21"/>
              </w:rPr>
              <w:t>）</w:t>
            </w:r>
          </w:p>
        </w:tc>
        <w:tc>
          <w:tcPr>
            <w:tcW w:w="2208" w:type="dxa"/>
            <w:gridSpan w:val="3"/>
            <w:tcBorders>
              <w:left w:val="single" w:color="000000" w:sz="8" w:space="0"/>
            </w:tcBorders>
          </w:tcPr>
          <w:p w14:paraId="5ADC563F">
            <w:pPr>
              <w:pStyle w:val="37"/>
              <w:spacing w:before="109" w:line="321" w:lineRule="exact"/>
              <w:ind w:left="556"/>
              <w:rPr>
                <w:rFonts w:ascii="微软雅黑" w:eastAsia="微软雅黑"/>
                <w:b/>
                <w:sz w:val="21"/>
              </w:rPr>
            </w:pPr>
            <w:r>
              <w:rPr>
                <w:rFonts w:ascii="微软雅黑" w:eastAsia="微软雅黑"/>
                <w:b/>
                <w:spacing w:val="6"/>
                <w:sz w:val="21"/>
              </w:rPr>
              <w:t>项目负责人</w:t>
            </w:r>
          </w:p>
        </w:tc>
        <w:tc>
          <w:tcPr>
            <w:tcW w:w="526" w:type="dxa"/>
            <w:vMerge w:val="restart"/>
          </w:tcPr>
          <w:p w14:paraId="7E82F289">
            <w:pPr>
              <w:pStyle w:val="37"/>
              <w:spacing w:before="47"/>
              <w:rPr>
                <w:sz w:val="21"/>
              </w:rPr>
            </w:pPr>
          </w:p>
          <w:p w14:paraId="7C6436F0">
            <w:pPr>
              <w:pStyle w:val="37"/>
              <w:spacing w:line="295" w:lineRule="auto"/>
              <w:ind w:left="33" w:right="24"/>
              <w:jc w:val="center"/>
              <w:rPr>
                <w:rFonts w:ascii="微软雅黑" w:eastAsia="微软雅黑"/>
                <w:b/>
                <w:sz w:val="21"/>
              </w:rPr>
            </w:pPr>
            <w:r>
              <w:rPr>
                <w:rFonts w:ascii="微软雅黑" w:eastAsia="微软雅黑"/>
                <w:b/>
                <w:spacing w:val="2"/>
                <w:sz w:val="21"/>
              </w:rPr>
              <w:t>投标</w:t>
            </w:r>
            <w:r>
              <w:rPr>
                <w:rFonts w:ascii="微软雅黑" w:eastAsia="微软雅黑"/>
                <w:b/>
                <w:spacing w:val="-10"/>
                <w:sz w:val="21"/>
              </w:rPr>
              <w:t>人</w:t>
            </w:r>
            <w:r>
              <w:rPr>
                <w:rFonts w:ascii="微软雅黑" w:eastAsia="微软雅黑"/>
                <w:b/>
                <w:spacing w:val="40"/>
                <w:sz w:val="21"/>
              </w:rPr>
              <w:t xml:space="preserve"> </w:t>
            </w:r>
            <w:r>
              <w:rPr>
                <w:rFonts w:ascii="微软雅黑" w:eastAsia="微软雅黑"/>
                <w:b/>
                <w:spacing w:val="9"/>
                <w:sz w:val="21"/>
              </w:rPr>
              <w:t>代表</w:t>
            </w:r>
          </w:p>
        </w:tc>
        <w:tc>
          <w:tcPr>
            <w:tcW w:w="947" w:type="dxa"/>
            <w:vMerge w:val="restart"/>
          </w:tcPr>
          <w:p w14:paraId="321964F3">
            <w:pPr>
              <w:pStyle w:val="37"/>
              <w:spacing w:before="272"/>
              <w:rPr>
                <w:sz w:val="21"/>
              </w:rPr>
            </w:pPr>
          </w:p>
          <w:p w14:paraId="373217B1">
            <w:pPr>
              <w:pStyle w:val="37"/>
              <w:spacing w:line="290" w:lineRule="auto"/>
              <w:ind w:left="348" w:right="131" w:hanging="225"/>
              <w:rPr>
                <w:rFonts w:ascii="微软雅黑" w:eastAsia="微软雅黑"/>
                <w:b/>
                <w:sz w:val="21"/>
              </w:rPr>
            </w:pPr>
            <w:r>
              <w:rPr>
                <w:rFonts w:ascii="微软雅黑" w:eastAsia="微软雅黑"/>
                <w:b/>
                <w:spacing w:val="6"/>
                <w:sz w:val="21"/>
              </w:rPr>
              <w:t>联系电</w:t>
            </w:r>
            <w:r>
              <w:rPr>
                <w:rFonts w:ascii="微软雅黑" w:eastAsia="微软雅黑"/>
                <w:b/>
                <w:spacing w:val="-10"/>
                <w:sz w:val="21"/>
              </w:rPr>
              <w:t>话</w:t>
            </w:r>
          </w:p>
        </w:tc>
      </w:tr>
      <w:tr w14:paraId="25CB7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91" w:hRule="atLeast"/>
        </w:trPr>
        <w:tc>
          <w:tcPr>
            <w:tcW w:w="286" w:type="dxa"/>
            <w:vMerge w:val="continue"/>
            <w:tcBorders>
              <w:top w:val="nil"/>
            </w:tcBorders>
          </w:tcPr>
          <w:p w14:paraId="35850D4D">
            <w:pPr>
              <w:rPr>
                <w:sz w:val="2"/>
                <w:szCs w:val="2"/>
              </w:rPr>
            </w:pPr>
          </w:p>
        </w:tc>
        <w:tc>
          <w:tcPr>
            <w:tcW w:w="1653" w:type="dxa"/>
            <w:vMerge w:val="continue"/>
            <w:tcBorders>
              <w:top w:val="nil"/>
            </w:tcBorders>
          </w:tcPr>
          <w:p w14:paraId="12B9D195">
            <w:pPr>
              <w:rPr>
                <w:sz w:val="2"/>
                <w:szCs w:val="2"/>
              </w:rPr>
            </w:pPr>
          </w:p>
        </w:tc>
        <w:tc>
          <w:tcPr>
            <w:tcW w:w="1007" w:type="dxa"/>
            <w:vMerge w:val="continue"/>
            <w:tcBorders>
              <w:top w:val="nil"/>
            </w:tcBorders>
          </w:tcPr>
          <w:p w14:paraId="685D16CD">
            <w:pPr>
              <w:rPr>
                <w:sz w:val="2"/>
                <w:szCs w:val="2"/>
              </w:rPr>
            </w:pPr>
          </w:p>
        </w:tc>
        <w:tc>
          <w:tcPr>
            <w:tcW w:w="1022" w:type="dxa"/>
            <w:vMerge w:val="continue"/>
            <w:tcBorders>
              <w:top w:val="nil"/>
            </w:tcBorders>
          </w:tcPr>
          <w:p w14:paraId="7A0A5BB1">
            <w:pPr>
              <w:rPr>
                <w:sz w:val="2"/>
                <w:szCs w:val="2"/>
              </w:rPr>
            </w:pPr>
          </w:p>
        </w:tc>
        <w:tc>
          <w:tcPr>
            <w:tcW w:w="812" w:type="dxa"/>
            <w:vMerge w:val="continue"/>
            <w:tcBorders>
              <w:top w:val="nil"/>
              <w:right w:val="single" w:color="000000" w:sz="8" w:space="0"/>
            </w:tcBorders>
          </w:tcPr>
          <w:p w14:paraId="27D15623">
            <w:pPr>
              <w:rPr>
                <w:sz w:val="2"/>
                <w:szCs w:val="2"/>
              </w:rPr>
            </w:pPr>
          </w:p>
        </w:tc>
        <w:tc>
          <w:tcPr>
            <w:tcW w:w="661" w:type="dxa"/>
            <w:tcBorders>
              <w:left w:val="single" w:color="000000" w:sz="8" w:space="0"/>
            </w:tcBorders>
          </w:tcPr>
          <w:p w14:paraId="1553CAB9">
            <w:pPr>
              <w:pStyle w:val="37"/>
              <w:spacing w:before="257"/>
              <w:rPr>
                <w:sz w:val="21"/>
              </w:rPr>
            </w:pPr>
          </w:p>
          <w:p w14:paraId="4F66E65B">
            <w:pPr>
              <w:pStyle w:val="37"/>
              <w:ind w:left="106"/>
              <w:rPr>
                <w:rFonts w:ascii="微软雅黑" w:eastAsia="微软雅黑"/>
                <w:b/>
                <w:sz w:val="21"/>
              </w:rPr>
            </w:pPr>
            <w:r>
              <w:rPr>
                <w:rFonts w:ascii="微软雅黑" w:eastAsia="微软雅黑"/>
                <w:b/>
                <w:spacing w:val="10"/>
                <w:sz w:val="21"/>
              </w:rPr>
              <w:t>姓名</w:t>
            </w:r>
          </w:p>
        </w:tc>
        <w:tc>
          <w:tcPr>
            <w:tcW w:w="736" w:type="dxa"/>
          </w:tcPr>
          <w:p w14:paraId="049D45D0">
            <w:pPr>
              <w:pStyle w:val="37"/>
              <w:spacing w:before="32"/>
              <w:rPr>
                <w:sz w:val="21"/>
              </w:rPr>
            </w:pPr>
          </w:p>
          <w:p w14:paraId="61273DCA">
            <w:pPr>
              <w:pStyle w:val="37"/>
              <w:spacing w:line="300" w:lineRule="auto"/>
              <w:ind w:left="154" w:right="113"/>
              <w:rPr>
                <w:rFonts w:ascii="微软雅黑" w:eastAsia="微软雅黑"/>
                <w:b/>
                <w:sz w:val="21"/>
              </w:rPr>
            </w:pPr>
            <w:r>
              <w:rPr>
                <w:rFonts w:ascii="微软雅黑" w:eastAsia="微软雅黑"/>
                <w:b/>
                <w:spacing w:val="2"/>
                <w:sz w:val="21"/>
              </w:rPr>
              <w:t>证书名称</w:t>
            </w:r>
          </w:p>
        </w:tc>
        <w:tc>
          <w:tcPr>
            <w:tcW w:w="811" w:type="dxa"/>
          </w:tcPr>
          <w:p w14:paraId="61A1A9D6">
            <w:pPr>
              <w:pStyle w:val="37"/>
              <w:spacing w:before="32"/>
              <w:rPr>
                <w:sz w:val="21"/>
              </w:rPr>
            </w:pPr>
          </w:p>
          <w:p w14:paraId="64B3F84D">
            <w:pPr>
              <w:pStyle w:val="37"/>
              <w:spacing w:line="300" w:lineRule="auto"/>
              <w:ind w:left="183" w:right="159"/>
              <w:rPr>
                <w:rFonts w:ascii="微软雅黑" w:eastAsia="微软雅黑"/>
                <w:b/>
                <w:sz w:val="21"/>
              </w:rPr>
            </w:pPr>
            <w:r>
              <w:rPr>
                <w:rFonts w:ascii="微软雅黑" w:eastAsia="微软雅黑"/>
                <w:b/>
                <w:spacing w:val="2"/>
                <w:sz w:val="21"/>
              </w:rPr>
              <w:t>证书编号</w:t>
            </w:r>
          </w:p>
        </w:tc>
        <w:tc>
          <w:tcPr>
            <w:tcW w:w="526" w:type="dxa"/>
            <w:vMerge w:val="continue"/>
            <w:tcBorders>
              <w:top w:val="nil"/>
            </w:tcBorders>
          </w:tcPr>
          <w:p w14:paraId="36D69027">
            <w:pPr>
              <w:rPr>
                <w:sz w:val="2"/>
                <w:szCs w:val="2"/>
              </w:rPr>
            </w:pPr>
          </w:p>
        </w:tc>
        <w:tc>
          <w:tcPr>
            <w:tcW w:w="947" w:type="dxa"/>
            <w:vMerge w:val="continue"/>
            <w:tcBorders>
              <w:top w:val="nil"/>
            </w:tcBorders>
          </w:tcPr>
          <w:p w14:paraId="0583779E">
            <w:pPr>
              <w:rPr>
                <w:sz w:val="2"/>
                <w:szCs w:val="2"/>
              </w:rPr>
            </w:pPr>
          </w:p>
        </w:tc>
      </w:tr>
      <w:tr w14:paraId="7017E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86" w:type="dxa"/>
          </w:tcPr>
          <w:p w14:paraId="735235FC">
            <w:pPr>
              <w:pStyle w:val="37"/>
              <w:rPr>
                <w:rFonts w:ascii="Times New Roman"/>
                <w:sz w:val="22"/>
              </w:rPr>
            </w:pPr>
          </w:p>
        </w:tc>
        <w:tc>
          <w:tcPr>
            <w:tcW w:w="1653" w:type="dxa"/>
          </w:tcPr>
          <w:p w14:paraId="48E42E0F">
            <w:pPr>
              <w:pStyle w:val="37"/>
              <w:rPr>
                <w:rFonts w:ascii="Times New Roman"/>
                <w:sz w:val="22"/>
              </w:rPr>
            </w:pPr>
          </w:p>
        </w:tc>
        <w:tc>
          <w:tcPr>
            <w:tcW w:w="1007" w:type="dxa"/>
          </w:tcPr>
          <w:p w14:paraId="06F3A638">
            <w:pPr>
              <w:pStyle w:val="37"/>
              <w:rPr>
                <w:rFonts w:ascii="Times New Roman"/>
                <w:sz w:val="22"/>
              </w:rPr>
            </w:pPr>
          </w:p>
        </w:tc>
        <w:tc>
          <w:tcPr>
            <w:tcW w:w="1022" w:type="dxa"/>
          </w:tcPr>
          <w:p w14:paraId="5C5E3E22">
            <w:pPr>
              <w:pStyle w:val="37"/>
              <w:rPr>
                <w:rFonts w:ascii="Times New Roman"/>
                <w:sz w:val="22"/>
              </w:rPr>
            </w:pPr>
          </w:p>
        </w:tc>
        <w:tc>
          <w:tcPr>
            <w:tcW w:w="812" w:type="dxa"/>
            <w:tcBorders>
              <w:right w:val="single" w:color="000000" w:sz="8" w:space="0"/>
            </w:tcBorders>
          </w:tcPr>
          <w:p w14:paraId="77996DB9">
            <w:pPr>
              <w:pStyle w:val="37"/>
              <w:rPr>
                <w:rFonts w:ascii="Times New Roman"/>
                <w:sz w:val="22"/>
              </w:rPr>
            </w:pPr>
          </w:p>
        </w:tc>
        <w:tc>
          <w:tcPr>
            <w:tcW w:w="661" w:type="dxa"/>
            <w:tcBorders>
              <w:left w:val="single" w:color="000000" w:sz="8" w:space="0"/>
            </w:tcBorders>
          </w:tcPr>
          <w:p w14:paraId="168D68DD">
            <w:pPr>
              <w:pStyle w:val="37"/>
              <w:rPr>
                <w:rFonts w:ascii="Times New Roman"/>
                <w:sz w:val="22"/>
              </w:rPr>
            </w:pPr>
          </w:p>
        </w:tc>
        <w:tc>
          <w:tcPr>
            <w:tcW w:w="736" w:type="dxa"/>
          </w:tcPr>
          <w:p w14:paraId="7037BD36">
            <w:pPr>
              <w:pStyle w:val="37"/>
              <w:rPr>
                <w:rFonts w:ascii="Times New Roman"/>
                <w:sz w:val="22"/>
              </w:rPr>
            </w:pPr>
          </w:p>
        </w:tc>
        <w:tc>
          <w:tcPr>
            <w:tcW w:w="811" w:type="dxa"/>
          </w:tcPr>
          <w:p w14:paraId="10D860D2">
            <w:pPr>
              <w:pStyle w:val="37"/>
              <w:rPr>
                <w:rFonts w:ascii="Times New Roman"/>
                <w:sz w:val="22"/>
              </w:rPr>
            </w:pPr>
          </w:p>
        </w:tc>
        <w:tc>
          <w:tcPr>
            <w:tcW w:w="526" w:type="dxa"/>
          </w:tcPr>
          <w:p w14:paraId="4B0290A8">
            <w:pPr>
              <w:pStyle w:val="37"/>
              <w:rPr>
                <w:rFonts w:ascii="Times New Roman"/>
                <w:sz w:val="22"/>
              </w:rPr>
            </w:pPr>
          </w:p>
        </w:tc>
        <w:tc>
          <w:tcPr>
            <w:tcW w:w="947" w:type="dxa"/>
          </w:tcPr>
          <w:p w14:paraId="7E0B9A6A">
            <w:pPr>
              <w:pStyle w:val="37"/>
              <w:rPr>
                <w:rFonts w:ascii="Times New Roman"/>
                <w:sz w:val="22"/>
              </w:rPr>
            </w:pPr>
          </w:p>
        </w:tc>
      </w:tr>
      <w:tr w14:paraId="6930B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286" w:type="dxa"/>
            <w:tcBorders>
              <w:bottom w:val="single" w:color="000000" w:sz="8" w:space="0"/>
            </w:tcBorders>
          </w:tcPr>
          <w:p w14:paraId="21D2946D">
            <w:pPr>
              <w:pStyle w:val="37"/>
              <w:rPr>
                <w:rFonts w:ascii="Times New Roman"/>
                <w:sz w:val="22"/>
              </w:rPr>
            </w:pPr>
          </w:p>
        </w:tc>
        <w:tc>
          <w:tcPr>
            <w:tcW w:w="1653" w:type="dxa"/>
            <w:tcBorders>
              <w:bottom w:val="single" w:color="000000" w:sz="8" w:space="0"/>
            </w:tcBorders>
          </w:tcPr>
          <w:p w14:paraId="1C4571C4">
            <w:pPr>
              <w:pStyle w:val="37"/>
              <w:rPr>
                <w:rFonts w:ascii="Times New Roman"/>
                <w:sz w:val="22"/>
              </w:rPr>
            </w:pPr>
          </w:p>
        </w:tc>
        <w:tc>
          <w:tcPr>
            <w:tcW w:w="1007" w:type="dxa"/>
            <w:tcBorders>
              <w:bottom w:val="single" w:color="000000" w:sz="8" w:space="0"/>
            </w:tcBorders>
          </w:tcPr>
          <w:p w14:paraId="289EED12">
            <w:pPr>
              <w:pStyle w:val="37"/>
              <w:rPr>
                <w:rFonts w:ascii="Times New Roman"/>
                <w:sz w:val="22"/>
              </w:rPr>
            </w:pPr>
          </w:p>
        </w:tc>
        <w:tc>
          <w:tcPr>
            <w:tcW w:w="1022" w:type="dxa"/>
            <w:tcBorders>
              <w:bottom w:val="single" w:color="000000" w:sz="8" w:space="0"/>
            </w:tcBorders>
          </w:tcPr>
          <w:p w14:paraId="6CAC3705">
            <w:pPr>
              <w:pStyle w:val="37"/>
              <w:rPr>
                <w:rFonts w:ascii="Times New Roman"/>
                <w:sz w:val="22"/>
              </w:rPr>
            </w:pPr>
          </w:p>
        </w:tc>
        <w:tc>
          <w:tcPr>
            <w:tcW w:w="812" w:type="dxa"/>
            <w:tcBorders>
              <w:bottom w:val="single" w:color="000000" w:sz="8" w:space="0"/>
              <w:right w:val="single" w:color="000000" w:sz="8" w:space="0"/>
            </w:tcBorders>
          </w:tcPr>
          <w:p w14:paraId="5B9ADECB">
            <w:pPr>
              <w:pStyle w:val="37"/>
              <w:rPr>
                <w:rFonts w:ascii="Times New Roman"/>
                <w:sz w:val="22"/>
              </w:rPr>
            </w:pPr>
          </w:p>
        </w:tc>
        <w:tc>
          <w:tcPr>
            <w:tcW w:w="661" w:type="dxa"/>
            <w:tcBorders>
              <w:left w:val="single" w:color="000000" w:sz="8" w:space="0"/>
              <w:bottom w:val="single" w:color="000000" w:sz="8" w:space="0"/>
            </w:tcBorders>
          </w:tcPr>
          <w:p w14:paraId="77CD7108">
            <w:pPr>
              <w:pStyle w:val="37"/>
              <w:rPr>
                <w:rFonts w:ascii="Times New Roman"/>
                <w:sz w:val="22"/>
              </w:rPr>
            </w:pPr>
          </w:p>
        </w:tc>
        <w:tc>
          <w:tcPr>
            <w:tcW w:w="736" w:type="dxa"/>
            <w:tcBorders>
              <w:bottom w:val="single" w:color="000000" w:sz="8" w:space="0"/>
            </w:tcBorders>
          </w:tcPr>
          <w:p w14:paraId="7C2CDC48">
            <w:pPr>
              <w:pStyle w:val="37"/>
              <w:rPr>
                <w:rFonts w:ascii="Times New Roman"/>
                <w:sz w:val="22"/>
              </w:rPr>
            </w:pPr>
          </w:p>
        </w:tc>
        <w:tc>
          <w:tcPr>
            <w:tcW w:w="811" w:type="dxa"/>
            <w:tcBorders>
              <w:bottom w:val="single" w:color="000000" w:sz="8" w:space="0"/>
            </w:tcBorders>
          </w:tcPr>
          <w:p w14:paraId="0AA82A7A">
            <w:pPr>
              <w:pStyle w:val="37"/>
              <w:rPr>
                <w:rFonts w:ascii="Times New Roman"/>
                <w:sz w:val="22"/>
              </w:rPr>
            </w:pPr>
          </w:p>
        </w:tc>
        <w:tc>
          <w:tcPr>
            <w:tcW w:w="526" w:type="dxa"/>
            <w:tcBorders>
              <w:bottom w:val="single" w:color="000000" w:sz="8" w:space="0"/>
            </w:tcBorders>
          </w:tcPr>
          <w:p w14:paraId="73DD9F19">
            <w:pPr>
              <w:pStyle w:val="37"/>
              <w:rPr>
                <w:rFonts w:ascii="Times New Roman"/>
                <w:sz w:val="22"/>
              </w:rPr>
            </w:pPr>
          </w:p>
        </w:tc>
        <w:tc>
          <w:tcPr>
            <w:tcW w:w="947" w:type="dxa"/>
            <w:tcBorders>
              <w:bottom w:val="single" w:color="000000" w:sz="8" w:space="0"/>
            </w:tcBorders>
          </w:tcPr>
          <w:p w14:paraId="73CBC0D6">
            <w:pPr>
              <w:pStyle w:val="37"/>
              <w:rPr>
                <w:rFonts w:ascii="Times New Roman"/>
                <w:sz w:val="22"/>
              </w:rPr>
            </w:pPr>
          </w:p>
        </w:tc>
      </w:tr>
      <w:tr w14:paraId="6E7DA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286" w:type="dxa"/>
            <w:tcBorders>
              <w:top w:val="single" w:color="000000" w:sz="8" w:space="0"/>
            </w:tcBorders>
          </w:tcPr>
          <w:p w14:paraId="0E8153B9">
            <w:pPr>
              <w:pStyle w:val="37"/>
              <w:rPr>
                <w:rFonts w:ascii="Times New Roman"/>
                <w:sz w:val="22"/>
              </w:rPr>
            </w:pPr>
          </w:p>
        </w:tc>
        <w:tc>
          <w:tcPr>
            <w:tcW w:w="1653" w:type="dxa"/>
            <w:tcBorders>
              <w:top w:val="single" w:color="000000" w:sz="8" w:space="0"/>
            </w:tcBorders>
          </w:tcPr>
          <w:p w14:paraId="61839FEF">
            <w:pPr>
              <w:pStyle w:val="37"/>
              <w:rPr>
                <w:rFonts w:ascii="Times New Roman"/>
                <w:sz w:val="22"/>
              </w:rPr>
            </w:pPr>
          </w:p>
        </w:tc>
        <w:tc>
          <w:tcPr>
            <w:tcW w:w="1007" w:type="dxa"/>
            <w:tcBorders>
              <w:top w:val="single" w:color="000000" w:sz="8" w:space="0"/>
            </w:tcBorders>
          </w:tcPr>
          <w:p w14:paraId="25167CF9">
            <w:pPr>
              <w:pStyle w:val="37"/>
              <w:rPr>
                <w:rFonts w:ascii="Times New Roman"/>
                <w:sz w:val="22"/>
              </w:rPr>
            </w:pPr>
          </w:p>
        </w:tc>
        <w:tc>
          <w:tcPr>
            <w:tcW w:w="1022" w:type="dxa"/>
            <w:tcBorders>
              <w:top w:val="single" w:color="000000" w:sz="8" w:space="0"/>
            </w:tcBorders>
          </w:tcPr>
          <w:p w14:paraId="6BF219BC">
            <w:pPr>
              <w:pStyle w:val="37"/>
              <w:rPr>
                <w:rFonts w:ascii="Times New Roman"/>
                <w:sz w:val="22"/>
              </w:rPr>
            </w:pPr>
          </w:p>
        </w:tc>
        <w:tc>
          <w:tcPr>
            <w:tcW w:w="812" w:type="dxa"/>
            <w:tcBorders>
              <w:top w:val="single" w:color="000000" w:sz="8" w:space="0"/>
              <w:right w:val="single" w:color="000000" w:sz="8" w:space="0"/>
            </w:tcBorders>
          </w:tcPr>
          <w:p w14:paraId="0FD2E469">
            <w:pPr>
              <w:pStyle w:val="37"/>
              <w:rPr>
                <w:rFonts w:ascii="Times New Roman"/>
                <w:sz w:val="22"/>
              </w:rPr>
            </w:pPr>
          </w:p>
        </w:tc>
        <w:tc>
          <w:tcPr>
            <w:tcW w:w="661" w:type="dxa"/>
            <w:tcBorders>
              <w:top w:val="single" w:color="000000" w:sz="8" w:space="0"/>
              <w:left w:val="single" w:color="000000" w:sz="8" w:space="0"/>
            </w:tcBorders>
          </w:tcPr>
          <w:p w14:paraId="34CEABC8">
            <w:pPr>
              <w:pStyle w:val="37"/>
              <w:rPr>
                <w:rFonts w:ascii="Times New Roman"/>
                <w:sz w:val="22"/>
              </w:rPr>
            </w:pPr>
          </w:p>
        </w:tc>
        <w:tc>
          <w:tcPr>
            <w:tcW w:w="736" w:type="dxa"/>
            <w:tcBorders>
              <w:top w:val="single" w:color="000000" w:sz="8" w:space="0"/>
            </w:tcBorders>
          </w:tcPr>
          <w:p w14:paraId="57784DDB">
            <w:pPr>
              <w:pStyle w:val="37"/>
              <w:rPr>
                <w:rFonts w:ascii="Times New Roman"/>
                <w:sz w:val="22"/>
              </w:rPr>
            </w:pPr>
          </w:p>
        </w:tc>
        <w:tc>
          <w:tcPr>
            <w:tcW w:w="811" w:type="dxa"/>
            <w:tcBorders>
              <w:top w:val="single" w:color="000000" w:sz="8" w:space="0"/>
            </w:tcBorders>
          </w:tcPr>
          <w:p w14:paraId="2B4E3DC3">
            <w:pPr>
              <w:pStyle w:val="37"/>
              <w:rPr>
                <w:rFonts w:ascii="Times New Roman"/>
                <w:sz w:val="22"/>
              </w:rPr>
            </w:pPr>
          </w:p>
        </w:tc>
        <w:tc>
          <w:tcPr>
            <w:tcW w:w="526" w:type="dxa"/>
            <w:tcBorders>
              <w:top w:val="single" w:color="000000" w:sz="8" w:space="0"/>
            </w:tcBorders>
          </w:tcPr>
          <w:p w14:paraId="6EF1112F">
            <w:pPr>
              <w:pStyle w:val="37"/>
              <w:rPr>
                <w:rFonts w:ascii="Times New Roman"/>
                <w:sz w:val="22"/>
              </w:rPr>
            </w:pPr>
          </w:p>
        </w:tc>
        <w:tc>
          <w:tcPr>
            <w:tcW w:w="947" w:type="dxa"/>
            <w:tcBorders>
              <w:top w:val="single" w:color="000000" w:sz="8" w:space="0"/>
            </w:tcBorders>
          </w:tcPr>
          <w:p w14:paraId="58A81E6C">
            <w:pPr>
              <w:pStyle w:val="37"/>
              <w:rPr>
                <w:rFonts w:ascii="Times New Roman"/>
                <w:sz w:val="22"/>
              </w:rPr>
            </w:pPr>
          </w:p>
        </w:tc>
      </w:tr>
      <w:tr w14:paraId="2774C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86" w:type="dxa"/>
          </w:tcPr>
          <w:p w14:paraId="284381A2">
            <w:pPr>
              <w:pStyle w:val="37"/>
              <w:rPr>
                <w:rFonts w:ascii="Times New Roman"/>
                <w:sz w:val="22"/>
              </w:rPr>
            </w:pPr>
          </w:p>
        </w:tc>
        <w:tc>
          <w:tcPr>
            <w:tcW w:w="1653" w:type="dxa"/>
          </w:tcPr>
          <w:p w14:paraId="06886AAB">
            <w:pPr>
              <w:pStyle w:val="37"/>
              <w:rPr>
                <w:rFonts w:ascii="Times New Roman"/>
                <w:sz w:val="22"/>
              </w:rPr>
            </w:pPr>
          </w:p>
        </w:tc>
        <w:tc>
          <w:tcPr>
            <w:tcW w:w="1007" w:type="dxa"/>
          </w:tcPr>
          <w:p w14:paraId="3192E24F">
            <w:pPr>
              <w:pStyle w:val="37"/>
              <w:rPr>
                <w:rFonts w:ascii="Times New Roman"/>
                <w:sz w:val="22"/>
              </w:rPr>
            </w:pPr>
          </w:p>
        </w:tc>
        <w:tc>
          <w:tcPr>
            <w:tcW w:w="1022" w:type="dxa"/>
          </w:tcPr>
          <w:p w14:paraId="1044D219">
            <w:pPr>
              <w:pStyle w:val="37"/>
              <w:rPr>
                <w:rFonts w:ascii="Times New Roman"/>
                <w:sz w:val="22"/>
              </w:rPr>
            </w:pPr>
          </w:p>
        </w:tc>
        <w:tc>
          <w:tcPr>
            <w:tcW w:w="812" w:type="dxa"/>
            <w:tcBorders>
              <w:right w:val="single" w:color="000000" w:sz="8" w:space="0"/>
            </w:tcBorders>
          </w:tcPr>
          <w:p w14:paraId="0388653F">
            <w:pPr>
              <w:pStyle w:val="37"/>
              <w:rPr>
                <w:rFonts w:ascii="Times New Roman"/>
                <w:sz w:val="22"/>
              </w:rPr>
            </w:pPr>
          </w:p>
        </w:tc>
        <w:tc>
          <w:tcPr>
            <w:tcW w:w="661" w:type="dxa"/>
            <w:tcBorders>
              <w:left w:val="single" w:color="000000" w:sz="8" w:space="0"/>
            </w:tcBorders>
          </w:tcPr>
          <w:p w14:paraId="790D37E5">
            <w:pPr>
              <w:pStyle w:val="37"/>
              <w:rPr>
                <w:rFonts w:ascii="Times New Roman"/>
                <w:sz w:val="22"/>
              </w:rPr>
            </w:pPr>
          </w:p>
        </w:tc>
        <w:tc>
          <w:tcPr>
            <w:tcW w:w="736" w:type="dxa"/>
          </w:tcPr>
          <w:p w14:paraId="3F93ACBB">
            <w:pPr>
              <w:pStyle w:val="37"/>
              <w:rPr>
                <w:rFonts w:ascii="Times New Roman"/>
                <w:sz w:val="22"/>
              </w:rPr>
            </w:pPr>
          </w:p>
        </w:tc>
        <w:tc>
          <w:tcPr>
            <w:tcW w:w="811" w:type="dxa"/>
          </w:tcPr>
          <w:p w14:paraId="62D88D97">
            <w:pPr>
              <w:pStyle w:val="37"/>
              <w:rPr>
                <w:rFonts w:ascii="Times New Roman"/>
                <w:sz w:val="22"/>
              </w:rPr>
            </w:pPr>
          </w:p>
        </w:tc>
        <w:tc>
          <w:tcPr>
            <w:tcW w:w="526" w:type="dxa"/>
          </w:tcPr>
          <w:p w14:paraId="4028E43D">
            <w:pPr>
              <w:pStyle w:val="37"/>
              <w:rPr>
                <w:rFonts w:ascii="Times New Roman"/>
                <w:sz w:val="22"/>
              </w:rPr>
            </w:pPr>
          </w:p>
        </w:tc>
        <w:tc>
          <w:tcPr>
            <w:tcW w:w="947" w:type="dxa"/>
          </w:tcPr>
          <w:p w14:paraId="7D528A37">
            <w:pPr>
              <w:pStyle w:val="37"/>
              <w:rPr>
                <w:rFonts w:ascii="Times New Roman"/>
                <w:sz w:val="22"/>
              </w:rPr>
            </w:pPr>
          </w:p>
        </w:tc>
      </w:tr>
      <w:tr w14:paraId="6E55D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86" w:type="dxa"/>
          </w:tcPr>
          <w:p w14:paraId="25C59678">
            <w:pPr>
              <w:pStyle w:val="37"/>
              <w:rPr>
                <w:rFonts w:ascii="Times New Roman"/>
                <w:sz w:val="22"/>
              </w:rPr>
            </w:pPr>
          </w:p>
        </w:tc>
        <w:tc>
          <w:tcPr>
            <w:tcW w:w="1653" w:type="dxa"/>
          </w:tcPr>
          <w:p w14:paraId="18656084">
            <w:pPr>
              <w:pStyle w:val="37"/>
              <w:rPr>
                <w:rFonts w:ascii="Times New Roman"/>
                <w:sz w:val="22"/>
              </w:rPr>
            </w:pPr>
          </w:p>
        </w:tc>
        <w:tc>
          <w:tcPr>
            <w:tcW w:w="1007" w:type="dxa"/>
          </w:tcPr>
          <w:p w14:paraId="2A6E36EF">
            <w:pPr>
              <w:pStyle w:val="37"/>
              <w:rPr>
                <w:rFonts w:ascii="Times New Roman"/>
                <w:sz w:val="22"/>
              </w:rPr>
            </w:pPr>
          </w:p>
        </w:tc>
        <w:tc>
          <w:tcPr>
            <w:tcW w:w="1022" w:type="dxa"/>
          </w:tcPr>
          <w:p w14:paraId="49B369BC">
            <w:pPr>
              <w:pStyle w:val="37"/>
              <w:rPr>
                <w:rFonts w:ascii="Times New Roman"/>
                <w:sz w:val="22"/>
              </w:rPr>
            </w:pPr>
          </w:p>
        </w:tc>
        <w:tc>
          <w:tcPr>
            <w:tcW w:w="812" w:type="dxa"/>
            <w:tcBorders>
              <w:right w:val="single" w:color="000000" w:sz="8" w:space="0"/>
            </w:tcBorders>
          </w:tcPr>
          <w:p w14:paraId="4B3944AF">
            <w:pPr>
              <w:pStyle w:val="37"/>
              <w:rPr>
                <w:rFonts w:ascii="Times New Roman"/>
                <w:sz w:val="22"/>
              </w:rPr>
            </w:pPr>
          </w:p>
        </w:tc>
        <w:tc>
          <w:tcPr>
            <w:tcW w:w="661" w:type="dxa"/>
            <w:tcBorders>
              <w:left w:val="single" w:color="000000" w:sz="8" w:space="0"/>
            </w:tcBorders>
          </w:tcPr>
          <w:p w14:paraId="0E4B4FB0">
            <w:pPr>
              <w:pStyle w:val="37"/>
              <w:rPr>
                <w:rFonts w:ascii="Times New Roman"/>
                <w:sz w:val="22"/>
              </w:rPr>
            </w:pPr>
          </w:p>
        </w:tc>
        <w:tc>
          <w:tcPr>
            <w:tcW w:w="736" w:type="dxa"/>
          </w:tcPr>
          <w:p w14:paraId="6D5AA29E">
            <w:pPr>
              <w:pStyle w:val="37"/>
              <w:rPr>
                <w:rFonts w:ascii="Times New Roman"/>
                <w:sz w:val="22"/>
              </w:rPr>
            </w:pPr>
          </w:p>
        </w:tc>
        <w:tc>
          <w:tcPr>
            <w:tcW w:w="811" w:type="dxa"/>
          </w:tcPr>
          <w:p w14:paraId="0D18BB5F">
            <w:pPr>
              <w:pStyle w:val="37"/>
              <w:rPr>
                <w:rFonts w:ascii="Times New Roman"/>
                <w:sz w:val="22"/>
              </w:rPr>
            </w:pPr>
          </w:p>
        </w:tc>
        <w:tc>
          <w:tcPr>
            <w:tcW w:w="526" w:type="dxa"/>
          </w:tcPr>
          <w:p w14:paraId="79317676">
            <w:pPr>
              <w:pStyle w:val="37"/>
              <w:rPr>
                <w:rFonts w:ascii="Times New Roman"/>
                <w:sz w:val="22"/>
              </w:rPr>
            </w:pPr>
          </w:p>
        </w:tc>
        <w:tc>
          <w:tcPr>
            <w:tcW w:w="947" w:type="dxa"/>
          </w:tcPr>
          <w:p w14:paraId="633D1EA5">
            <w:pPr>
              <w:pStyle w:val="37"/>
              <w:rPr>
                <w:rFonts w:ascii="Times New Roman"/>
                <w:sz w:val="22"/>
              </w:rPr>
            </w:pPr>
          </w:p>
        </w:tc>
      </w:tr>
      <w:tr w14:paraId="27092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939" w:type="dxa"/>
            <w:gridSpan w:val="2"/>
          </w:tcPr>
          <w:p w14:paraId="1670815F">
            <w:pPr>
              <w:pStyle w:val="37"/>
              <w:spacing w:line="430" w:lineRule="atLeast"/>
              <w:ind w:left="548" w:right="-15" w:hanging="496"/>
              <w:rPr>
                <w:rFonts w:ascii="微软雅黑" w:eastAsia="微软雅黑"/>
                <w:b/>
                <w:sz w:val="21"/>
              </w:rPr>
            </w:pPr>
            <w:r>
              <w:rPr>
                <w:rFonts w:ascii="微软雅黑" w:eastAsia="微软雅黑"/>
                <w:b/>
                <w:spacing w:val="-3"/>
                <w:sz w:val="21"/>
              </w:rPr>
              <w:t>最高（最低）投标限</w:t>
            </w:r>
            <w:r>
              <w:rPr>
                <w:rFonts w:ascii="微软雅黑" w:eastAsia="微软雅黑"/>
                <w:b/>
                <w:spacing w:val="11"/>
                <w:sz w:val="21"/>
              </w:rPr>
              <w:t>价（元）</w:t>
            </w:r>
          </w:p>
        </w:tc>
        <w:tc>
          <w:tcPr>
            <w:tcW w:w="1007" w:type="dxa"/>
          </w:tcPr>
          <w:p w14:paraId="7084FB83">
            <w:pPr>
              <w:pStyle w:val="37"/>
              <w:rPr>
                <w:rFonts w:ascii="Times New Roman"/>
                <w:sz w:val="22"/>
              </w:rPr>
            </w:pPr>
          </w:p>
        </w:tc>
        <w:tc>
          <w:tcPr>
            <w:tcW w:w="1022" w:type="dxa"/>
          </w:tcPr>
          <w:p w14:paraId="6A18C239">
            <w:pPr>
              <w:pStyle w:val="37"/>
              <w:rPr>
                <w:rFonts w:ascii="Times New Roman"/>
                <w:sz w:val="22"/>
              </w:rPr>
            </w:pPr>
          </w:p>
        </w:tc>
        <w:tc>
          <w:tcPr>
            <w:tcW w:w="812" w:type="dxa"/>
            <w:tcBorders>
              <w:right w:val="single" w:color="000000" w:sz="8" w:space="0"/>
            </w:tcBorders>
          </w:tcPr>
          <w:p w14:paraId="51530354">
            <w:pPr>
              <w:pStyle w:val="37"/>
              <w:rPr>
                <w:rFonts w:ascii="Times New Roman"/>
                <w:sz w:val="22"/>
              </w:rPr>
            </w:pPr>
          </w:p>
        </w:tc>
        <w:tc>
          <w:tcPr>
            <w:tcW w:w="661" w:type="dxa"/>
            <w:tcBorders>
              <w:left w:val="single" w:color="000000" w:sz="8" w:space="0"/>
            </w:tcBorders>
          </w:tcPr>
          <w:p w14:paraId="29683146">
            <w:pPr>
              <w:pStyle w:val="37"/>
              <w:rPr>
                <w:rFonts w:ascii="Times New Roman"/>
                <w:sz w:val="22"/>
              </w:rPr>
            </w:pPr>
          </w:p>
        </w:tc>
        <w:tc>
          <w:tcPr>
            <w:tcW w:w="736" w:type="dxa"/>
          </w:tcPr>
          <w:p w14:paraId="2F776341">
            <w:pPr>
              <w:pStyle w:val="37"/>
              <w:rPr>
                <w:rFonts w:ascii="Times New Roman"/>
                <w:sz w:val="22"/>
              </w:rPr>
            </w:pPr>
          </w:p>
        </w:tc>
        <w:tc>
          <w:tcPr>
            <w:tcW w:w="811" w:type="dxa"/>
          </w:tcPr>
          <w:p w14:paraId="460506B6">
            <w:pPr>
              <w:pStyle w:val="37"/>
              <w:rPr>
                <w:rFonts w:ascii="Times New Roman"/>
                <w:sz w:val="22"/>
              </w:rPr>
            </w:pPr>
          </w:p>
        </w:tc>
        <w:tc>
          <w:tcPr>
            <w:tcW w:w="526" w:type="dxa"/>
          </w:tcPr>
          <w:p w14:paraId="4A5D7204">
            <w:pPr>
              <w:pStyle w:val="37"/>
              <w:rPr>
                <w:rFonts w:ascii="Times New Roman"/>
                <w:sz w:val="22"/>
              </w:rPr>
            </w:pPr>
          </w:p>
        </w:tc>
        <w:tc>
          <w:tcPr>
            <w:tcW w:w="947" w:type="dxa"/>
          </w:tcPr>
          <w:p w14:paraId="20C6AC20">
            <w:pPr>
              <w:pStyle w:val="37"/>
              <w:rPr>
                <w:rFonts w:ascii="Times New Roman"/>
                <w:sz w:val="22"/>
              </w:rPr>
            </w:pPr>
          </w:p>
        </w:tc>
      </w:tr>
      <w:tr w14:paraId="71B29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939" w:type="dxa"/>
            <w:gridSpan w:val="2"/>
          </w:tcPr>
          <w:p w14:paraId="27C0D336">
            <w:pPr>
              <w:pStyle w:val="37"/>
              <w:spacing w:line="430" w:lineRule="atLeast"/>
              <w:ind w:left="548" w:right="66" w:hanging="421"/>
              <w:rPr>
                <w:rFonts w:ascii="微软雅黑" w:eastAsia="微软雅黑"/>
                <w:b/>
                <w:sz w:val="21"/>
              </w:rPr>
            </w:pPr>
            <w:r>
              <w:rPr>
                <w:rFonts w:ascii="微软雅黑" w:eastAsia="微软雅黑"/>
                <w:b/>
                <w:spacing w:val="3"/>
                <w:sz w:val="21"/>
              </w:rPr>
              <w:t>开标过程需记录的</w:t>
            </w:r>
            <w:r>
              <w:rPr>
                <w:rFonts w:ascii="微软雅黑" w:eastAsia="微软雅黑"/>
                <w:b/>
                <w:spacing w:val="11"/>
                <w:sz w:val="21"/>
              </w:rPr>
              <w:t>其他事项</w:t>
            </w:r>
          </w:p>
        </w:tc>
        <w:tc>
          <w:tcPr>
            <w:tcW w:w="1007" w:type="dxa"/>
          </w:tcPr>
          <w:p w14:paraId="09B483FB">
            <w:pPr>
              <w:pStyle w:val="37"/>
              <w:rPr>
                <w:rFonts w:ascii="Times New Roman"/>
                <w:sz w:val="22"/>
              </w:rPr>
            </w:pPr>
          </w:p>
        </w:tc>
        <w:tc>
          <w:tcPr>
            <w:tcW w:w="1022" w:type="dxa"/>
          </w:tcPr>
          <w:p w14:paraId="38D15501">
            <w:pPr>
              <w:pStyle w:val="37"/>
              <w:rPr>
                <w:rFonts w:ascii="Times New Roman"/>
                <w:sz w:val="22"/>
              </w:rPr>
            </w:pPr>
          </w:p>
        </w:tc>
        <w:tc>
          <w:tcPr>
            <w:tcW w:w="812" w:type="dxa"/>
            <w:tcBorders>
              <w:right w:val="single" w:color="000000" w:sz="8" w:space="0"/>
            </w:tcBorders>
          </w:tcPr>
          <w:p w14:paraId="5C13B707">
            <w:pPr>
              <w:pStyle w:val="37"/>
              <w:rPr>
                <w:rFonts w:ascii="Times New Roman"/>
                <w:sz w:val="22"/>
              </w:rPr>
            </w:pPr>
          </w:p>
        </w:tc>
        <w:tc>
          <w:tcPr>
            <w:tcW w:w="661" w:type="dxa"/>
            <w:tcBorders>
              <w:left w:val="single" w:color="000000" w:sz="8" w:space="0"/>
            </w:tcBorders>
          </w:tcPr>
          <w:p w14:paraId="4BAAFB70">
            <w:pPr>
              <w:pStyle w:val="37"/>
              <w:rPr>
                <w:rFonts w:ascii="Times New Roman"/>
                <w:sz w:val="22"/>
              </w:rPr>
            </w:pPr>
          </w:p>
        </w:tc>
        <w:tc>
          <w:tcPr>
            <w:tcW w:w="736" w:type="dxa"/>
          </w:tcPr>
          <w:p w14:paraId="7E3669E8">
            <w:pPr>
              <w:pStyle w:val="37"/>
              <w:rPr>
                <w:rFonts w:ascii="Times New Roman"/>
                <w:sz w:val="22"/>
              </w:rPr>
            </w:pPr>
          </w:p>
        </w:tc>
        <w:tc>
          <w:tcPr>
            <w:tcW w:w="811" w:type="dxa"/>
          </w:tcPr>
          <w:p w14:paraId="4D6D39F2">
            <w:pPr>
              <w:pStyle w:val="37"/>
              <w:rPr>
                <w:rFonts w:ascii="Times New Roman"/>
                <w:sz w:val="22"/>
              </w:rPr>
            </w:pPr>
          </w:p>
        </w:tc>
        <w:tc>
          <w:tcPr>
            <w:tcW w:w="526" w:type="dxa"/>
          </w:tcPr>
          <w:p w14:paraId="6BE388A0">
            <w:pPr>
              <w:pStyle w:val="37"/>
              <w:rPr>
                <w:rFonts w:ascii="Times New Roman"/>
                <w:sz w:val="22"/>
              </w:rPr>
            </w:pPr>
          </w:p>
        </w:tc>
        <w:tc>
          <w:tcPr>
            <w:tcW w:w="947" w:type="dxa"/>
          </w:tcPr>
          <w:p w14:paraId="0D6CA1F6">
            <w:pPr>
              <w:pStyle w:val="37"/>
              <w:rPr>
                <w:rFonts w:ascii="Times New Roman"/>
                <w:sz w:val="22"/>
              </w:rPr>
            </w:pPr>
          </w:p>
        </w:tc>
      </w:tr>
    </w:tbl>
    <w:p w14:paraId="648F6046">
      <w:pPr>
        <w:tabs>
          <w:tab w:val="left" w:pos="3640"/>
          <w:tab w:val="left" w:pos="6422"/>
          <w:tab w:val="left" w:pos="8944"/>
        </w:tabs>
        <w:spacing w:before="1"/>
        <w:ind w:left="1223" w:right="0" w:firstLine="0"/>
        <w:jc w:val="left"/>
        <w:rPr>
          <w:rFonts w:ascii="Times New Roman" w:eastAsia="Times New Roman"/>
          <w:sz w:val="21"/>
        </w:rPr>
      </w:pPr>
      <w:r>
        <w:rPr>
          <w:sz w:val="21"/>
        </w:rPr>
        <w:t>招标人代表</w:t>
      </w:r>
      <w:r>
        <w:rPr>
          <w:spacing w:val="-10"/>
          <w:sz w:val="21"/>
        </w:rPr>
        <w:t>：</w:t>
      </w:r>
      <w:r>
        <w:rPr>
          <w:rFonts w:ascii="Times New Roman" w:eastAsia="Times New Roman"/>
          <w:sz w:val="21"/>
          <w:u w:val="single"/>
        </w:rPr>
        <w:tab/>
      </w:r>
      <w:r>
        <w:rPr>
          <w:sz w:val="21"/>
          <w:u w:val="none"/>
        </w:rPr>
        <w:t>主</w:t>
      </w:r>
      <w:r>
        <w:rPr>
          <w:spacing w:val="52"/>
          <w:w w:val="150"/>
          <w:sz w:val="21"/>
          <w:u w:val="none"/>
        </w:rPr>
        <w:t xml:space="preserve"> </w:t>
      </w:r>
      <w:r>
        <w:rPr>
          <w:sz w:val="21"/>
          <w:u w:val="none"/>
        </w:rPr>
        <w:t>持</w:t>
      </w:r>
      <w:r>
        <w:rPr>
          <w:spacing w:val="53"/>
          <w:w w:val="150"/>
          <w:sz w:val="21"/>
          <w:u w:val="none"/>
        </w:rPr>
        <w:t xml:space="preserve"> </w:t>
      </w:r>
      <w:r>
        <w:rPr>
          <w:sz w:val="21"/>
          <w:u w:val="none"/>
        </w:rPr>
        <w:t>人</w:t>
      </w:r>
      <w:r>
        <w:rPr>
          <w:spacing w:val="-10"/>
          <w:sz w:val="21"/>
          <w:u w:val="none"/>
        </w:rPr>
        <w:t>：</w:t>
      </w:r>
      <w:r>
        <w:rPr>
          <w:rFonts w:ascii="Times New Roman" w:eastAsia="Times New Roman"/>
          <w:sz w:val="21"/>
          <w:u w:val="single"/>
        </w:rPr>
        <w:tab/>
      </w:r>
      <w:r>
        <w:rPr>
          <w:rFonts w:ascii="Times New Roman" w:eastAsia="Times New Roman"/>
          <w:spacing w:val="5"/>
          <w:sz w:val="21"/>
          <w:u w:val="none"/>
        </w:rPr>
        <w:t xml:space="preserve"> </w:t>
      </w:r>
      <w:r>
        <w:rPr>
          <w:sz w:val="21"/>
          <w:u w:val="none"/>
        </w:rPr>
        <w:t>监</w:t>
      </w:r>
      <w:r>
        <w:rPr>
          <w:spacing w:val="59"/>
          <w:w w:val="150"/>
          <w:sz w:val="21"/>
          <w:u w:val="none"/>
        </w:rPr>
        <w:t xml:space="preserve"> </w:t>
      </w:r>
      <w:r>
        <w:rPr>
          <w:sz w:val="21"/>
          <w:u w:val="none"/>
        </w:rPr>
        <w:t>标</w:t>
      </w:r>
      <w:r>
        <w:rPr>
          <w:spacing w:val="59"/>
          <w:w w:val="150"/>
          <w:sz w:val="21"/>
          <w:u w:val="none"/>
        </w:rPr>
        <w:t xml:space="preserve"> </w:t>
      </w:r>
      <w:r>
        <w:rPr>
          <w:sz w:val="21"/>
          <w:u w:val="none"/>
        </w:rPr>
        <w:t>人：</w:t>
      </w:r>
      <w:r>
        <w:rPr>
          <w:rFonts w:ascii="Times New Roman" w:eastAsia="Times New Roman"/>
          <w:sz w:val="21"/>
          <w:u w:val="single"/>
        </w:rPr>
        <w:tab/>
      </w:r>
    </w:p>
    <w:p w14:paraId="343EE807">
      <w:pPr>
        <w:spacing w:after="0"/>
        <w:jc w:val="left"/>
        <w:rPr>
          <w:rFonts w:ascii="Times New Roman" w:eastAsia="Times New Roman"/>
          <w:sz w:val="21"/>
        </w:rPr>
        <w:sectPr>
          <w:pgSz w:w="11910" w:h="16850"/>
          <w:pgMar w:top="1560" w:right="920" w:bottom="1060" w:left="1000" w:header="0" w:footer="866" w:gutter="0"/>
          <w:cols w:space="720" w:num="1"/>
        </w:sectPr>
      </w:pPr>
    </w:p>
    <w:p w14:paraId="67974085">
      <w:pPr>
        <w:pStyle w:val="10"/>
        <w:spacing w:before="37"/>
        <w:ind w:left="1087"/>
      </w:pPr>
      <w:bookmarkStart w:id="243" w:name="附表六：投标文件问题澄清通知"/>
      <w:bookmarkEnd w:id="243"/>
      <w:r>
        <w:rPr>
          <w:spacing w:val="-1"/>
        </w:rPr>
        <w:t>附表六：投标文件问题澄清通知</w:t>
      </w:r>
    </w:p>
    <w:p w14:paraId="50300ECF">
      <w:pPr>
        <w:pStyle w:val="10"/>
      </w:pPr>
    </w:p>
    <w:p w14:paraId="4E3EEF1E">
      <w:pPr>
        <w:pStyle w:val="10"/>
      </w:pPr>
    </w:p>
    <w:p w14:paraId="6AD6E56A">
      <w:pPr>
        <w:pStyle w:val="10"/>
        <w:spacing w:before="17"/>
      </w:pPr>
    </w:p>
    <w:p w14:paraId="7A41B9B1">
      <w:pPr>
        <w:spacing w:before="0"/>
        <w:ind w:left="0" w:right="93" w:firstLine="0"/>
        <w:jc w:val="center"/>
        <w:rPr>
          <w:sz w:val="28"/>
        </w:rPr>
      </w:pPr>
      <w:r>
        <w:rPr>
          <w:spacing w:val="-2"/>
          <w:sz w:val="28"/>
        </w:rPr>
        <w:t>投标文件问题澄清通知</w:t>
      </w:r>
    </w:p>
    <w:p w14:paraId="3895D5EF">
      <w:pPr>
        <w:tabs>
          <w:tab w:val="left" w:pos="8103"/>
        </w:tabs>
        <w:spacing w:before="248"/>
        <w:ind w:left="6164" w:right="0" w:firstLine="0"/>
        <w:jc w:val="lef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34104F4B">
      <w:pPr>
        <w:pStyle w:val="10"/>
        <w:rPr>
          <w:rFonts w:ascii="Times New Roman"/>
          <w:sz w:val="21"/>
        </w:rPr>
      </w:pPr>
    </w:p>
    <w:p w14:paraId="1163B82C">
      <w:pPr>
        <w:pStyle w:val="10"/>
        <w:spacing w:before="175"/>
        <w:rPr>
          <w:rFonts w:ascii="Times New Roman"/>
          <w:sz w:val="21"/>
        </w:rPr>
      </w:pPr>
    </w:p>
    <w:p w14:paraId="1950A32E">
      <w:pPr>
        <w:tabs>
          <w:tab w:val="left" w:pos="3640"/>
        </w:tabs>
        <w:spacing w:before="0"/>
        <w:ind w:left="802" w:right="0" w:firstLine="0"/>
        <w:jc w:val="left"/>
        <w:rPr>
          <w:sz w:val="21"/>
        </w:rPr>
      </w:pPr>
      <w:r>
        <w:rPr>
          <w:rFonts w:ascii="Times New Roman" w:eastAsia="Times New Roman"/>
          <w:sz w:val="21"/>
          <w:u w:val="single"/>
        </w:rPr>
        <w:tab/>
      </w:r>
      <w:r>
        <w:rPr>
          <w:sz w:val="21"/>
          <w:u w:val="none"/>
        </w:rPr>
        <w:t>（投标人名称</w:t>
      </w:r>
      <w:r>
        <w:rPr>
          <w:spacing w:val="-110"/>
          <w:sz w:val="21"/>
          <w:u w:val="none"/>
        </w:rPr>
        <w:t>）</w:t>
      </w:r>
      <w:r>
        <w:rPr>
          <w:spacing w:val="-5"/>
          <w:sz w:val="21"/>
          <w:u w:val="none"/>
        </w:rPr>
        <w:t>：</w:t>
      </w:r>
    </w:p>
    <w:p w14:paraId="4A653419">
      <w:pPr>
        <w:pStyle w:val="10"/>
        <w:rPr>
          <w:sz w:val="21"/>
        </w:rPr>
      </w:pPr>
    </w:p>
    <w:p w14:paraId="3CC0CAC2">
      <w:pPr>
        <w:pStyle w:val="10"/>
        <w:spacing w:before="142"/>
        <w:rPr>
          <w:sz w:val="21"/>
        </w:rPr>
      </w:pPr>
    </w:p>
    <w:p w14:paraId="1E8C2F27">
      <w:pPr>
        <w:tabs>
          <w:tab w:val="left" w:pos="1618"/>
          <w:tab w:val="left" w:pos="3480"/>
          <w:tab w:val="left" w:pos="5553"/>
        </w:tabs>
        <w:spacing w:before="0"/>
        <w:ind w:left="461" w:right="0" w:firstLine="0"/>
        <w:jc w:val="center"/>
        <w:rPr>
          <w:sz w:val="21"/>
        </w:rPr>
      </w:pPr>
      <w:r>
        <w:rPr>
          <w:rFonts w:ascii="Times New Roman" w:eastAsia="Times New Roman"/>
          <w:sz w:val="21"/>
          <w:u w:val="single"/>
        </w:rPr>
        <w:tab/>
      </w:r>
      <w:r>
        <w:rPr>
          <w:sz w:val="21"/>
          <w:u w:val="none"/>
        </w:rPr>
        <w:t>（项目名称</w:t>
      </w:r>
      <w:r>
        <w:rPr>
          <w:spacing w:val="-10"/>
          <w:sz w:val="21"/>
          <w:u w:val="none"/>
        </w:rPr>
        <w:t>）</w:t>
      </w:r>
      <w:r>
        <w:rPr>
          <w:rFonts w:ascii="Times New Roman" w:eastAsia="Times New Roman"/>
          <w:sz w:val="21"/>
          <w:u w:val="single"/>
        </w:rPr>
        <w:tab/>
      </w:r>
      <w:r>
        <w:rPr>
          <w:sz w:val="21"/>
          <w:u w:val="none"/>
        </w:rPr>
        <w:t>（标段名称</w:t>
      </w:r>
      <w:r>
        <w:rPr>
          <w:spacing w:val="-10"/>
          <w:sz w:val="21"/>
          <w:u w:val="none"/>
        </w:rPr>
        <w:t>）</w:t>
      </w:r>
      <w:r>
        <w:rPr>
          <w:rFonts w:ascii="Times New Roman" w:eastAsia="Times New Roman"/>
          <w:sz w:val="21"/>
          <w:u w:val="single"/>
        </w:rPr>
        <w:tab/>
      </w:r>
      <w:r>
        <w:rPr>
          <w:spacing w:val="-4"/>
          <w:sz w:val="21"/>
          <w:u w:val="none"/>
        </w:rPr>
        <w:t>（服务名称）招标的评标委</w:t>
      </w:r>
      <w:r>
        <w:rPr>
          <w:spacing w:val="-10"/>
          <w:sz w:val="21"/>
          <w:u w:val="none"/>
        </w:rPr>
        <w:t>员</w:t>
      </w:r>
    </w:p>
    <w:p w14:paraId="315A9C0A">
      <w:pPr>
        <w:tabs>
          <w:tab w:val="left" w:pos="5893"/>
          <w:tab w:val="left" w:pos="6419"/>
          <w:tab w:val="left" w:pos="6944"/>
        </w:tabs>
        <w:spacing w:before="207" w:line="422" w:lineRule="auto"/>
        <w:ind w:left="802" w:right="860" w:firstLine="0"/>
        <w:jc w:val="left"/>
        <w:rPr>
          <w:sz w:val="21"/>
        </w:rPr>
      </w:pPr>
      <w:r>
        <w:rPr>
          <w:spacing w:val="-4"/>
          <w:sz w:val="21"/>
        </w:rPr>
        <w:t>会，对你方的投标文件进行了仔细的审查，现需你方对下列问题以书面形式予以澄清、说明或者补正，并将投标文件的澄清、说明或者补正</w:t>
      </w:r>
      <w:r>
        <w:rPr>
          <w:spacing w:val="-10"/>
          <w:sz w:val="21"/>
        </w:rPr>
        <w:t>于</w:t>
      </w:r>
      <w:r>
        <w:rPr>
          <w:rFonts w:ascii="Times New Roman" w:hAnsi="Times New Roman" w:eastAsia="Times New Roman"/>
          <w:sz w:val="21"/>
          <w:u w:val="single"/>
        </w:rPr>
        <w:tab/>
      </w:r>
      <w:r>
        <w:rPr>
          <w:spacing w:val="-10"/>
          <w:sz w:val="21"/>
          <w:u w:val="none"/>
        </w:rPr>
        <w:t>年</w:t>
      </w:r>
      <w:r>
        <w:rPr>
          <w:rFonts w:ascii="Times New Roman" w:hAnsi="Times New Roman" w:eastAsia="Times New Roman"/>
          <w:sz w:val="21"/>
          <w:u w:val="single"/>
        </w:rPr>
        <w:tab/>
      </w:r>
      <w:r>
        <w:rPr>
          <w:spacing w:val="-10"/>
          <w:sz w:val="21"/>
          <w:u w:val="none"/>
        </w:rPr>
        <w:t>月</w:t>
      </w:r>
      <w:r>
        <w:rPr>
          <w:rFonts w:ascii="Times New Roman" w:hAnsi="Times New Roman" w:eastAsia="Times New Roman"/>
          <w:sz w:val="21"/>
          <w:u w:val="single"/>
        </w:rPr>
        <w:tab/>
      </w:r>
      <w:r>
        <w:rPr>
          <w:sz w:val="21"/>
          <w:u w:val="none"/>
        </w:rPr>
        <w:t>日</w:t>
      </w:r>
      <w:r>
        <w:rPr>
          <w:rFonts w:ascii="Times New Roman" w:hAnsi="Times New Roman" w:eastAsia="Times New Roman"/>
          <w:spacing w:val="38"/>
          <w:sz w:val="21"/>
          <w:u w:val="single"/>
        </w:rPr>
        <w:t xml:space="preserve">  </w:t>
      </w:r>
      <w:r>
        <w:rPr>
          <w:sz w:val="21"/>
          <w:u w:val="none"/>
        </w:rPr>
        <w:t>时前，通过</w:t>
      </w:r>
      <w:r>
        <w:rPr>
          <w:rFonts w:ascii="Calibri" w:hAnsi="Calibri" w:eastAsia="Calibri"/>
          <w:sz w:val="21"/>
          <w:u w:val="none"/>
        </w:rPr>
        <w:t>“</w:t>
      </w:r>
      <w:r>
        <w:rPr>
          <w:sz w:val="21"/>
          <w:u w:val="none"/>
        </w:rPr>
        <w:t>电子</w:t>
      </w:r>
      <w:r>
        <w:rPr>
          <w:spacing w:val="-10"/>
          <w:sz w:val="21"/>
          <w:u w:val="none"/>
        </w:rPr>
        <w:t>交</w:t>
      </w:r>
    </w:p>
    <w:p w14:paraId="07D84DB5">
      <w:pPr>
        <w:spacing w:before="0"/>
        <w:ind w:left="802" w:right="0" w:firstLine="0"/>
        <w:jc w:val="left"/>
        <w:rPr>
          <w:sz w:val="21"/>
        </w:rPr>
      </w:pPr>
      <w:r>
        <w:rPr>
          <w:sz w:val="21"/>
        </w:rPr>
        <w:t>易平台</w:t>
      </w:r>
      <w:r>
        <w:rPr>
          <w:rFonts w:ascii="Calibri" w:hAnsi="Calibri" w:eastAsia="Calibri"/>
          <w:sz w:val="21"/>
        </w:rPr>
        <w:t>”“</w:t>
      </w:r>
      <w:r>
        <w:rPr>
          <w:sz w:val="21"/>
        </w:rPr>
        <w:t>投标文件澄清</w:t>
      </w:r>
      <w:r>
        <w:rPr>
          <w:rFonts w:ascii="Calibri" w:hAnsi="Calibri" w:eastAsia="Calibri"/>
          <w:sz w:val="21"/>
        </w:rPr>
        <w:t>”</w:t>
      </w:r>
      <w:r>
        <w:rPr>
          <w:spacing w:val="-1"/>
          <w:sz w:val="21"/>
        </w:rPr>
        <w:t>菜单提交给本评标委员会。</w:t>
      </w:r>
    </w:p>
    <w:p w14:paraId="539047FF">
      <w:pPr>
        <w:spacing w:before="177"/>
        <w:ind w:left="1223" w:right="0" w:firstLine="0"/>
        <w:jc w:val="left"/>
        <w:rPr>
          <w:rFonts w:ascii="Calibri" w:eastAsia="Calibri"/>
          <w:sz w:val="21"/>
        </w:rPr>
      </w:pPr>
      <w:r>
        <w:rPr>
          <w:rFonts w:ascii="Calibri" w:eastAsia="Calibri"/>
          <w:sz w:val="21"/>
        </w:rPr>
        <w:t>1</w:t>
      </w:r>
      <w:r>
        <w:rPr>
          <w:spacing w:val="-1"/>
          <w:sz w:val="21"/>
        </w:rPr>
        <w:t xml:space="preserve">、 </w:t>
      </w:r>
      <w:r>
        <w:rPr>
          <w:rFonts w:ascii="Calibri" w:eastAsia="Calibri"/>
          <w:spacing w:val="-2"/>
          <w:sz w:val="21"/>
        </w:rPr>
        <w:t>......</w:t>
      </w:r>
    </w:p>
    <w:p w14:paraId="6D806E2B">
      <w:pPr>
        <w:spacing w:before="178"/>
        <w:ind w:left="1223" w:right="0" w:firstLine="0"/>
        <w:jc w:val="left"/>
        <w:rPr>
          <w:rFonts w:ascii="Calibri" w:eastAsia="Calibri"/>
          <w:sz w:val="21"/>
        </w:rPr>
      </w:pPr>
      <w:r>
        <w:rPr>
          <w:rFonts w:ascii="Calibri" w:eastAsia="Calibri"/>
          <w:sz w:val="21"/>
        </w:rPr>
        <w:t>2</w:t>
      </w:r>
      <w:r>
        <w:rPr>
          <w:spacing w:val="-1"/>
          <w:sz w:val="21"/>
        </w:rPr>
        <w:t xml:space="preserve">、 </w:t>
      </w:r>
      <w:r>
        <w:rPr>
          <w:rFonts w:ascii="Calibri" w:eastAsia="Calibri"/>
          <w:spacing w:val="-2"/>
          <w:sz w:val="21"/>
        </w:rPr>
        <w:t>......</w:t>
      </w:r>
    </w:p>
    <w:p w14:paraId="263D8FAA">
      <w:pPr>
        <w:pStyle w:val="10"/>
        <w:rPr>
          <w:rFonts w:ascii="Calibri"/>
          <w:sz w:val="21"/>
        </w:rPr>
      </w:pPr>
    </w:p>
    <w:p w14:paraId="4458A5EF">
      <w:pPr>
        <w:pStyle w:val="10"/>
        <w:rPr>
          <w:rFonts w:ascii="Calibri"/>
          <w:sz w:val="21"/>
        </w:rPr>
      </w:pPr>
    </w:p>
    <w:p w14:paraId="4F0582B3">
      <w:pPr>
        <w:pStyle w:val="10"/>
        <w:rPr>
          <w:rFonts w:ascii="Calibri"/>
          <w:sz w:val="21"/>
        </w:rPr>
      </w:pPr>
    </w:p>
    <w:p w14:paraId="3FC845B4">
      <w:pPr>
        <w:pStyle w:val="10"/>
        <w:spacing w:before="127"/>
        <w:rPr>
          <w:rFonts w:ascii="Calibri"/>
          <w:sz w:val="21"/>
        </w:rPr>
      </w:pPr>
    </w:p>
    <w:p w14:paraId="5ADDD54C">
      <w:pPr>
        <w:tabs>
          <w:tab w:val="left" w:pos="3114"/>
          <w:tab w:val="left" w:pos="6374"/>
        </w:tabs>
        <w:spacing w:before="0"/>
        <w:ind w:left="2694" w:right="0" w:firstLine="0"/>
        <w:jc w:val="left"/>
        <w:rPr>
          <w:sz w:val="21"/>
        </w:rPr>
      </w:pPr>
      <w:r>
        <w:rPr>
          <w:rFonts w:ascii="Times New Roman" w:eastAsia="Times New Roman"/>
          <w:sz w:val="21"/>
          <w:u w:val="single"/>
        </w:rPr>
        <w:tab/>
      </w:r>
      <w:r>
        <w:rPr>
          <w:sz w:val="21"/>
          <w:u w:val="none"/>
        </w:rPr>
        <w:t>（项目名称）</w:t>
      </w:r>
      <w:r>
        <w:rPr>
          <w:spacing w:val="-1"/>
          <w:sz w:val="21"/>
          <w:u w:val="none"/>
        </w:rPr>
        <w:t xml:space="preserve"> </w:t>
      </w:r>
      <w:r>
        <w:rPr>
          <w:rFonts w:ascii="Times New Roman" w:eastAsia="Times New Roman"/>
          <w:spacing w:val="52"/>
          <w:sz w:val="21"/>
          <w:u w:val="single"/>
        </w:rPr>
        <w:t xml:space="preserve">  </w:t>
      </w:r>
      <w:r>
        <w:rPr>
          <w:sz w:val="21"/>
          <w:u w:val="none"/>
        </w:rPr>
        <w:t>（标段名称</w:t>
      </w:r>
      <w:r>
        <w:rPr>
          <w:spacing w:val="-10"/>
          <w:sz w:val="21"/>
          <w:u w:val="none"/>
        </w:rPr>
        <w:t>）</w:t>
      </w:r>
      <w:r>
        <w:rPr>
          <w:rFonts w:ascii="Times New Roman" w:eastAsia="Times New Roman"/>
          <w:sz w:val="21"/>
          <w:u w:val="single"/>
        </w:rPr>
        <w:tab/>
      </w:r>
      <w:r>
        <w:rPr>
          <w:sz w:val="21"/>
          <w:u w:val="none"/>
        </w:rPr>
        <w:t>（服务名称）招标评标委员</w:t>
      </w:r>
      <w:r>
        <w:rPr>
          <w:spacing w:val="-10"/>
          <w:sz w:val="21"/>
          <w:u w:val="none"/>
        </w:rPr>
        <w:t>会</w:t>
      </w:r>
    </w:p>
    <w:p w14:paraId="07EDC4AD">
      <w:pPr>
        <w:tabs>
          <w:tab w:val="left" w:pos="9155"/>
        </w:tabs>
        <w:spacing w:before="208"/>
        <w:ind w:left="2168" w:right="0" w:firstLine="0"/>
        <w:jc w:val="left"/>
        <w:rPr>
          <w:rFonts w:ascii="Times New Roman" w:eastAsia="Times New Roman"/>
          <w:sz w:val="21"/>
        </w:rPr>
      </w:pPr>
      <w:r>
        <w:rPr>
          <w:sz w:val="21"/>
        </w:rPr>
        <w:t>（经评标委员会授权的招标人代表签字或招标人盖单位章</w:t>
      </w:r>
      <w:r>
        <w:rPr>
          <w:spacing w:val="-61"/>
          <w:sz w:val="21"/>
        </w:rPr>
        <w:t>）：</w:t>
      </w:r>
      <w:r>
        <w:rPr>
          <w:rFonts w:ascii="Times New Roman" w:eastAsia="Times New Roman"/>
          <w:sz w:val="21"/>
          <w:u w:val="single"/>
        </w:rPr>
        <w:tab/>
      </w:r>
    </w:p>
    <w:p w14:paraId="1C445761">
      <w:pPr>
        <w:pStyle w:val="10"/>
        <w:rPr>
          <w:rFonts w:ascii="Times New Roman"/>
          <w:sz w:val="21"/>
        </w:rPr>
      </w:pPr>
    </w:p>
    <w:p w14:paraId="7C7BBC34">
      <w:pPr>
        <w:pStyle w:val="10"/>
        <w:spacing w:before="205"/>
        <w:rPr>
          <w:rFonts w:ascii="Times New Roman"/>
          <w:sz w:val="21"/>
        </w:rPr>
      </w:pPr>
    </w:p>
    <w:p w14:paraId="5364D273">
      <w:pPr>
        <w:tabs>
          <w:tab w:val="left" w:pos="7004"/>
          <w:tab w:val="left" w:pos="7951"/>
          <w:tab w:val="left" w:pos="8897"/>
        </w:tabs>
        <w:spacing w:before="0"/>
        <w:ind w:left="6374" w:right="0" w:firstLine="0"/>
        <w:jc w:val="lef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75DBAB29">
      <w:pPr>
        <w:spacing w:after="0"/>
        <w:jc w:val="left"/>
        <w:rPr>
          <w:sz w:val="21"/>
        </w:rPr>
        <w:sectPr>
          <w:pgSz w:w="11910" w:h="16850"/>
          <w:pgMar w:top="1560" w:right="920" w:bottom="1060" w:left="1000" w:header="0" w:footer="866" w:gutter="0"/>
          <w:cols w:space="720" w:num="1"/>
        </w:sectPr>
      </w:pPr>
    </w:p>
    <w:p w14:paraId="5D1342DE">
      <w:pPr>
        <w:pStyle w:val="10"/>
        <w:spacing w:before="37"/>
        <w:ind w:left="802"/>
      </w:pPr>
      <w:bookmarkStart w:id="244" w:name="附表七：投标文件问题的澄清"/>
      <w:bookmarkEnd w:id="244"/>
      <w:r>
        <w:rPr>
          <w:spacing w:val="-1"/>
        </w:rPr>
        <w:t>附表七：投标文件问题的澄清</w:t>
      </w:r>
    </w:p>
    <w:p w14:paraId="04F2DA2A">
      <w:pPr>
        <w:pStyle w:val="10"/>
        <w:spacing w:before="311"/>
      </w:pPr>
    </w:p>
    <w:p w14:paraId="5DFC0BB0">
      <w:pPr>
        <w:spacing w:before="0"/>
        <w:ind w:left="0" w:right="77" w:firstLine="0"/>
        <w:jc w:val="center"/>
        <w:rPr>
          <w:sz w:val="28"/>
        </w:rPr>
      </w:pPr>
      <w:r>
        <w:rPr>
          <w:spacing w:val="-1"/>
          <w:sz w:val="28"/>
        </w:rPr>
        <w:t>投标文件问题的澄清、说明或补正</w:t>
      </w:r>
    </w:p>
    <w:p w14:paraId="353B5A05">
      <w:pPr>
        <w:tabs>
          <w:tab w:val="left" w:pos="7998"/>
        </w:tabs>
        <w:spacing w:before="248"/>
        <w:ind w:left="6164" w:right="0" w:firstLine="0"/>
        <w:jc w:val="lef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32A6877E">
      <w:pPr>
        <w:pStyle w:val="10"/>
        <w:rPr>
          <w:rFonts w:ascii="Times New Roman"/>
          <w:sz w:val="21"/>
        </w:rPr>
      </w:pPr>
    </w:p>
    <w:p w14:paraId="34792384">
      <w:pPr>
        <w:pStyle w:val="10"/>
        <w:rPr>
          <w:rFonts w:ascii="Times New Roman"/>
          <w:sz w:val="21"/>
        </w:rPr>
      </w:pPr>
    </w:p>
    <w:p w14:paraId="1B8F9961">
      <w:pPr>
        <w:pStyle w:val="10"/>
        <w:rPr>
          <w:rFonts w:ascii="Times New Roman"/>
          <w:sz w:val="21"/>
        </w:rPr>
      </w:pPr>
    </w:p>
    <w:p w14:paraId="195CC3A1">
      <w:pPr>
        <w:pStyle w:val="10"/>
        <w:spacing w:before="187"/>
        <w:rPr>
          <w:rFonts w:ascii="Times New Roman"/>
          <w:sz w:val="21"/>
        </w:rPr>
      </w:pPr>
    </w:p>
    <w:p w14:paraId="2BEC2A55">
      <w:pPr>
        <w:tabs>
          <w:tab w:val="left" w:pos="1079"/>
          <w:tab w:val="left" w:pos="2971"/>
          <w:tab w:val="left" w:pos="4653"/>
        </w:tabs>
        <w:spacing w:before="0"/>
        <w:ind w:left="133" w:right="0" w:firstLine="0"/>
        <w:jc w:val="center"/>
        <w:rPr>
          <w:sz w:val="21"/>
        </w:rPr>
      </w:pPr>
      <w:r>
        <w:rPr>
          <w:rFonts w:ascii="Times New Roman" w:eastAsia="Times New Roman"/>
          <w:sz w:val="21"/>
          <w:u w:val="single"/>
        </w:rPr>
        <w:tab/>
      </w:r>
      <w:r>
        <w:rPr>
          <w:sz w:val="21"/>
          <w:u w:val="none"/>
        </w:rPr>
        <w:t>（项目名称</w:t>
      </w:r>
      <w:r>
        <w:rPr>
          <w:spacing w:val="-10"/>
          <w:sz w:val="21"/>
          <w:u w:val="none"/>
        </w:rPr>
        <w:t>）</w:t>
      </w:r>
      <w:r>
        <w:rPr>
          <w:rFonts w:ascii="Times New Roman" w:eastAsia="Times New Roman"/>
          <w:sz w:val="21"/>
          <w:u w:val="single"/>
        </w:rPr>
        <w:tab/>
      </w:r>
      <w:r>
        <w:rPr>
          <w:sz w:val="21"/>
          <w:u w:val="none"/>
        </w:rPr>
        <w:t>（标段名称</w:t>
      </w:r>
      <w:r>
        <w:rPr>
          <w:spacing w:val="-10"/>
          <w:sz w:val="21"/>
          <w:u w:val="none"/>
        </w:rPr>
        <w:t>）</w:t>
      </w:r>
      <w:r>
        <w:rPr>
          <w:rFonts w:ascii="Times New Roman" w:eastAsia="Times New Roman"/>
          <w:sz w:val="21"/>
          <w:u w:val="single"/>
        </w:rPr>
        <w:tab/>
      </w:r>
      <w:r>
        <w:rPr>
          <w:sz w:val="21"/>
          <w:u w:val="none"/>
        </w:rPr>
        <w:t>（服务名称）招标评标委员会</w:t>
      </w:r>
      <w:r>
        <w:rPr>
          <w:spacing w:val="-10"/>
          <w:sz w:val="21"/>
          <w:u w:val="none"/>
        </w:rPr>
        <w:t>：</w:t>
      </w:r>
    </w:p>
    <w:p w14:paraId="32D404B1">
      <w:pPr>
        <w:tabs>
          <w:tab w:val="left" w:pos="3574"/>
        </w:tabs>
        <w:spacing w:before="207"/>
        <w:ind w:left="0" w:right="178" w:firstLine="0"/>
        <w:jc w:val="center"/>
        <w:rPr>
          <w:sz w:val="21"/>
        </w:rPr>
      </w:pPr>
      <w:r>
        <w:rPr>
          <w:spacing w:val="-2"/>
          <w:sz w:val="21"/>
        </w:rPr>
        <w:t>投标文件问题澄清通知（编号</w:t>
      </w:r>
      <w:r>
        <w:rPr>
          <w:spacing w:val="-10"/>
          <w:sz w:val="21"/>
        </w:rPr>
        <w:t>：</w:t>
      </w:r>
      <w:r>
        <w:rPr>
          <w:rFonts w:ascii="Times New Roman" w:eastAsia="Times New Roman"/>
          <w:sz w:val="21"/>
          <w:u w:val="single"/>
        </w:rPr>
        <w:tab/>
      </w:r>
      <w:r>
        <w:rPr>
          <w:sz w:val="21"/>
          <w:u w:val="none"/>
        </w:rPr>
        <w:t>）已收悉，现澄清、说明或者补正如下</w:t>
      </w:r>
      <w:r>
        <w:rPr>
          <w:spacing w:val="-10"/>
          <w:sz w:val="21"/>
          <w:u w:val="none"/>
        </w:rPr>
        <w:t>：</w:t>
      </w:r>
    </w:p>
    <w:p w14:paraId="40F77601">
      <w:pPr>
        <w:spacing w:before="222"/>
        <w:ind w:left="1223" w:right="0" w:firstLine="0"/>
        <w:jc w:val="left"/>
        <w:rPr>
          <w:rFonts w:ascii="Calibri"/>
          <w:sz w:val="21"/>
        </w:rPr>
      </w:pPr>
      <w:r>
        <w:rPr>
          <w:rFonts w:ascii="Calibri"/>
          <w:spacing w:val="-5"/>
          <w:sz w:val="21"/>
        </w:rPr>
        <w:t>1.</w:t>
      </w:r>
    </w:p>
    <w:p w14:paraId="32359DFF">
      <w:pPr>
        <w:spacing w:before="224"/>
        <w:ind w:left="1223" w:right="0" w:firstLine="0"/>
        <w:jc w:val="left"/>
        <w:rPr>
          <w:rFonts w:ascii="Calibri"/>
          <w:sz w:val="21"/>
        </w:rPr>
      </w:pPr>
      <w:r>
        <w:rPr>
          <w:rFonts w:ascii="Calibri"/>
          <w:spacing w:val="-5"/>
          <w:sz w:val="21"/>
        </w:rPr>
        <w:t>2.</w:t>
      </w:r>
    </w:p>
    <w:p w14:paraId="4D03600F">
      <w:pPr>
        <w:pStyle w:val="10"/>
        <w:rPr>
          <w:rFonts w:ascii="Calibri"/>
          <w:sz w:val="21"/>
        </w:rPr>
      </w:pPr>
    </w:p>
    <w:p w14:paraId="38599CD5">
      <w:pPr>
        <w:pStyle w:val="10"/>
        <w:rPr>
          <w:rFonts w:ascii="Calibri"/>
          <w:sz w:val="21"/>
        </w:rPr>
      </w:pPr>
    </w:p>
    <w:p w14:paraId="3B197E91">
      <w:pPr>
        <w:pStyle w:val="10"/>
        <w:rPr>
          <w:rFonts w:ascii="Calibri"/>
          <w:sz w:val="21"/>
        </w:rPr>
      </w:pPr>
    </w:p>
    <w:p w14:paraId="532FFD08">
      <w:pPr>
        <w:pStyle w:val="10"/>
        <w:rPr>
          <w:rFonts w:ascii="Calibri"/>
          <w:sz w:val="21"/>
        </w:rPr>
      </w:pPr>
    </w:p>
    <w:p w14:paraId="4A12DBA5">
      <w:pPr>
        <w:pStyle w:val="10"/>
        <w:rPr>
          <w:rFonts w:ascii="Calibri"/>
          <w:sz w:val="21"/>
        </w:rPr>
      </w:pPr>
    </w:p>
    <w:p w14:paraId="16DFB29E">
      <w:pPr>
        <w:pStyle w:val="10"/>
        <w:rPr>
          <w:rFonts w:ascii="Calibri"/>
          <w:sz w:val="21"/>
        </w:rPr>
      </w:pPr>
    </w:p>
    <w:p w14:paraId="09344C23">
      <w:pPr>
        <w:pStyle w:val="10"/>
        <w:rPr>
          <w:rFonts w:ascii="Calibri"/>
          <w:sz w:val="21"/>
        </w:rPr>
      </w:pPr>
    </w:p>
    <w:p w14:paraId="26AE3A6D">
      <w:pPr>
        <w:pStyle w:val="10"/>
        <w:rPr>
          <w:rFonts w:ascii="Calibri"/>
          <w:sz w:val="21"/>
        </w:rPr>
      </w:pPr>
    </w:p>
    <w:p w14:paraId="0B8BA2F3">
      <w:pPr>
        <w:pStyle w:val="10"/>
        <w:rPr>
          <w:rFonts w:ascii="Calibri"/>
          <w:sz w:val="21"/>
        </w:rPr>
      </w:pPr>
    </w:p>
    <w:p w14:paraId="222509E9">
      <w:pPr>
        <w:pStyle w:val="10"/>
        <w:rPr>
          <w:rFonts w:ascii="Calibri"/>
          <w:sz w:val="21"/>
        </w:rPr>
      </w:pPr>
    </w:p>
    <w:p w14:paraId="75A219C8">
      <w:pPr>
        <w:pStyle w:val="10"/>
        <w:rPr>
          <w:rFonts w:ascii="Calibri"/>
          <w:sz w:val="21"/>
        </w:rPr>
      </w:pPr>
    </w:p>
    <w:p w14:paraId="6DF9B4FC">
      <w:pPr>
        <w:pStyle w:val="10"/>
        <w:rPr>
          <w:rFonts w:ascii="Calibri"/>
          <w:sz w:val="21"/>
        </w:rPr>
      </w:pPr>
    </w:p>
    <w:p w14:paraId="399BBEBD">
      <w:pPr>
        <w:pStyle w:val="10"/>
        <w:spacing w:before="240"/>
        <w:rPr>
          <w:rFonts w:ascii="Calibri"/>
          <w:sz w:val="21"/>
        </w:rPr>
      </w:pPr>
    </w:p>
    <w:p w14:paraId="5AD139A0">
      <w:pPr>
        <w:tabs>
          <w:tab w:val="left" w:pos="7740"/>
        </w:tabs>
        <w:spacing w:before="1"/>
        <w:ind w:left="5533" w:right="0" w:firstLine="0"/>
        <w:jc w:val="left"/>
        <w:rPr>
          <w:sz w:val="21"/>
        </w:rPr>
      </w:pPr>
      <w:r>
        <w:rPr>
          <w:sz w:val="21"/>
        </w:rPr>
        <w:t>投标人</w:t>
      </w:r>
      <w:r>
        <w:rPr>
          <w:spacing w:val="-10"/>
          <w:sz w:val="21"/>
        </w:rPr>
        <w:t>：</w:t>
      </w:r>
      <w:r>
        <w:rPr>
          <w:rFonts w:ascii="Times New Roman" w:eastAsia="Times New Roman"/>
          <w:sz w:val="21"/>
          <w:u w:val="single"/>
        </w:rPr>
        <w:tab/>
      </w:r>
      <w:r>
        <w:rPr>
          <w:sz w:val="21"/>
          <w:u w:val="none"/>
        </w:rPr>
        <w:t>（盖单位章</w:t>
      </w:r>
      <w:r>
        <w:rPr>
          <w:spacing w:val="-10"/>
          <w:sz w:val="21"/>
          <w:u w:val="none"/>
        </w:rPr>
        <w:t>）</w:t>
      </w:r>
    </w:p>
    <w:p w14:paraId="517837BE">
      <w:pPr>
        <w:pStyle w:val="10"/>
        <w:spacing w:before="54"/>
        <w:rPr>
          <w:sz w:val="21"/>
        </w:rPr>
      </w:pPr>
    </w:p>
    <w:p w14:paraId="5A34C4A1">
      <w:pPr>
        <w:tabs>
          <w:tab w:val="left" w:pos="8161"/>
        </w:tabs>
        <w:spacing w:before="0"/>
        <w:ind w:left="5533" w:right="0" w:firstLine="0"/>
        <w:jc w:val="left"/>
        <w:rPr>
          <w:sz w:val="21"/>
        </w:rPr>
      </w:pPr>
      <w:r>
        <w:rPr>
          <w:sz w:val="21"/>
        </w:rPr>
        <w:t>法定代表人</w:t>
      </w:r>
      <w:r>
        <w:rPr>
          <w:spacing w:val="-10"/>
          <w:sz w:val="21"/>
        </w:rPr>
        <w:t>：</w:t>
      </w:r>
      <w:r>
        <w:rPr>
          <w:rFonts w:ascii="Times New Roman" w:eastAsia="Times New Roman"/>
          <w:sz w:val="21"/>
          <w:u w:val="single"/>
        </w:rPr>
        <w:tab/>
      </w:r>
      <w:r>
        <w:rPr>
          <w:sz w:val="21"/>
          <w:u w:val="none"/>
        </w:rPr>
        <w:t>（签字</w:t>
      </w:r>
      <w:r>
        <w:rPr>
          <w:spacing w:val="-10"/>
          <w:sz w:val="21"/>
          <w:u w:val="none"/>
        </w:rPr>
        <w:t>）</w:t>
      </w:r>
    </w:p>
    <w:p w14:paraId="5416C3D9">
      <w:pPr>
        <w:pStyle w:val="10"/>
        <w:rPr>
          <w:sz w:val="21"/>
        </w:rPr>
      </w:pPr>
    </w:p>
    <w:p w14:paraId="4D3207FA">
      <w:pPr>
        <w:pStyle w:val="10"/>
        <w:rPr>
          <w:sz w:val="21"/>
        </w:rPr>
      </w:pPr>
    </w:p>
    <w:p w14:paraId="56699733">
      <w:pPr>
        <w:pStyle w:val="10"/>
        <w:spacing w:before="109"/>
        <w:rPr>
          <w:sz w:val="21"/>
        </w:rPr>
      </w:pPr>
    </w:p>
    <w:p w14:paraId="4AC1AA3B">
      <w:pPr>
        <w:tabs>
          <w:tab w:val="left" w:pos="525"/>
          <w:tab w:val="left" w:pos="1156"/>
          <w:tab w:val="left" w:pos="1892"/>
        </w:tabs>
        <w:spacing w:before="0"/>
        <w:ind w:left="0" w:right="880" w:firstLine="0"/>
        <w:jc w:val="righ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3A3818A4">
      <w:pPr>
        <w:spacing w:after="0"/>
        <w:jc w:val="right"/>
        <w:rPr>
          <w:sz w:val="21"/>
        </w:rPr>
        <w:sectPr>
          <w:pgSz w:w="11910" w:h="16850"/>
          <w:pgMar w:top="1560" w:right="920" w:bottom="1060" w:left="1000" w:header="0" w:footer="866" w:gutter="0"/>
          <w:cols w:space="720" w:num="1"/>
        </w:sectPr>
      </w:pPr>
    </w:p>
    <w:p w14:paraId="4B7843A0">
      <w:pPr>
        <w:pStyle w:val="10"/>
        <w:spacing w:before="37"/>
        <w:ind w:left="1087"/>
      </w:pPr>
      <w:bookmarkStart w:id="245" w:name="附表八：中标通知书"/>
      <w:bookmarkEnd w:id="245"/>
      <w:r>
        <w:rPr>
          <w:spacing w:val="-2"/>
        </w:rPr>
        <w:t>附表八：中标通知书</w:t>
      </w:r>
    </w:p>
    <w:p w14:paraId="366D0633">
      <w:pPr>
        <w:pStyle w:val="10"/>
        <w:spacing w:before="3"/>
        <w:rPr>
          <w:sz w:val="28"/>
        </w:rPr>
      </w:pPr>
    </w:p>
    <w:p w14:paraId="2D0C3FBC">
      <w:pPr>
        <w:spacing w:before="0"/>
        <w:ind w:left="0" w:right="78" w:firstLine="0"/>
        <w:jc w:val="center"/>
        <w:rPr>
          <w:sz w:val="28"/>
        </w:rPr>
      </w:pPr>
      <w:r>
        <w:rPr>
          <w:spacing w:val="3"/>
          <w:sz w:val="28"/>
        </w:rPr>
        <w:t>中标通知书</w:t>
      </w:r>
    </w:p>
    <w:p w14:paraId="7BFA668F">
      <w:pPr>
        <w:pStyle w:val="10"/>
        <w:spacing w:before="156"/>
        <w:rPr>
          <w:sz w:val="21"/>
        </w:rPr>
      </w:pPr>
    </w:p>
    <w:p w14:paraId="3E166524">
      <w:pPr>
        <w:tabs>
          <w:tab w:val="left" w:pos="8524"/>
        </w:tabs>
        <w:spacing w:before="0"/>
        <w:ind w:left="6269" w:right="0" w:firstLine="0"/>
        <w:jc w:val="left"/>
        <w:rPr>
          <w:rFonts w:ascii="Times New Roman" w:eastAsia="Times New Roman"/>
          <w:sz w:val="21"/>
        </w:rPr>
      </w:pPr>
      <w:r>
        <w:rPr>
          <w:sz w:val="21"/>
        </w:rPr>
        <w:t>招标编号</w:t>
      </w:r>
      <w:r>
        <w:rPr>
          <w:spacing w:val="-10"/>
          <w:sz w:val="21"/>
        </w:rPr>
        <w:t>：</w:t>
      </w:r>
      <w:r>
        <w:rPr>
          <w:rFonts w:ascii="Times New Roman" w:eastAsia="Times New Roman"/>
          <w:sz w:val="21"/>
          <w:u w:val="single"/>
        </w:rPr>
        <w:tab/>
      </w:r>
    </w:p>
    <w:p w14:paraId="61736311">
      <w:pPr>
        <w:pStyle w:val="10"/>
        <w:rPr>
          <w:rFonts w:ascii="Times New Roman"/>
          <w:sz w:val="21"/>
        </w:rPr>
      </w:pPr>
    </w:p>
    <w:p w14:paraId="437D3BF7">
      <w:pPr>
        <w:pStyle w:val="10"/>
        <w:rPr>
          <w:rFonts w:ascii="Times New Roman"/>
          <w:sz w:val="21"/>
        </w:rPr>
      </w:pPr>
    </w:p>
    <w:p w14:paraId="7F2A7299">
      <w:pPr>
        <w:pStyle w:val="10"/>
        <w:spacing w:before="143"/>
        <w:rPr>
          <w:rFonts w:ascii="Times New Roman"/>
          <w:sz w:val="21"/>
        </w:rPr>
      </w:pPr>
    </w:p>
    <w:p w14:paraId="5F2C21C6">
      <w:pPr>
        <w:tabs>
          <w:tab w:val="left" w:pos="2799"/>
        </w:tabs>
        <w:spacing w:before="0"/>
        <w:ind w:left="802" w:right="0" w:firstLine="0"/>
        <w:jc w:val="left"/>
        <w:rPr>
          <w:sz w:val="21"/>
        </w:rPr>
      </w:pPr>
      <w:r>
        <w:rPr>
          <w:rFonts w:ascii="Times New Roman" w:eastAsia="Times New Roman"/>
          <w:sz w:val="21"/>
          <w:u w:val="single"/>
        </w:rPr>
        <w:tab/>
      </w:r>
      <w:r>
        <w:rPr>
          <w:sz w:val="21"/>
          <w:u w:val="none"/>
        </w:rPr>
        <w:t>（中标人名称</w:t>
      </w:r>
      <w:r>
        <w:rPr>
          <w:spacing w:val="-110"/>
          <w:sz w:val="21"/>
          <w:u w:val="none"/>
        </w:rPr>
        <w:t>）</w:t>
      </w:r>
      <w:r>
        <w:rPr>
          <w:spacing w:val="-5"/>
          <w:sz w:val="21"/>
          <w:u w:val="none"/>
        </w:rPr>
        <w:t>：</w:t>
      </w:r>
    </w:p>
    <w:p w14:paraId="06DD964E">
      <w:pPr>
        <w:pStyle w:val="10"/>
        <w:rPr>
          <w:sz w:val="21"/>
        </w:rPr>
      </w:pPr>
    </w:p>
    <w:p w14:paraId="42A027B8">
      <w:pPr>
        <w:pStyle w:val="10"/>
        <w:spacing w:before="82"/>
        <w:rPr>
          <w:sz w:val="21"/>
        </w:rPr>
      </w:pPr>
    </w:p>
    <w:p w14:paraId="5DFDB7DF">
      <w:pPr>
        <w:tabs>
          <w:tab w:val="left" w:pos="1573"/>
          <w:tab w:val="left" w:pos="4246"/>
          <w:tab w:val="left" w:pos="6078"/>
          <w:tab w:val="left" w:pos="7806"/>
        </w:tabs>
        <w:spacing w:before="0"/>
        <w:ind w:left="341" w:right="0" w:firstLine="0"/>
        <w:jc w:val="center"/>
        <w:rPr>
          <w:sz w:val="21"/>
        </w:rPr>
      </w:pPr>
      <w:r>
        <w:rPr>
          <w:sz w:val="21"/>
        </w:rPr>
        <w:t>你方</w:t>
      </w:r>
      <w:r>
        <w:rPr>
          <w:spacing w:val="-10"/>
          <w:sz w:val="21"/>
        </w:rPr>
        <w:t>于</w:t>
      </w:r>
      <w:r>
        <w:rPr>
          <w:rFonts w:ascii="Times New Roman" w:eastAsia="Times New Roman"/>
          <w:sz w:val="21"/>
          <w:u w:val="single"/>
        </w:rPr>
        <w:tab/>
      </w:r>
      <w:r>
        <w:rPr>
          <w:spacing w:val="-4"/>
          <w:sz w:val="21"/>
          <w:u w:val="none"/>
        </w:rPr>
        <w:t>（投标日期）所递交</w:t>
      </w:r>
      <w:r>
        <w:rPr>
          <w:spacing w:val="-10"/>
          <w:sz w:val="21"/>
          <w:u w:val="none"/>
        </w:rPr>
        <w:t>的</w:t>
      </w:r>
      <w:r>
        <w:rPr>
          <w:rFonts w:ascii="Times New Roman" w:eastAsia="Times New Roman"/>
          <w:sz w:val="21"/>
          <w:u w:val="single"/>
        </w:rPr>
        <w:tab/>
      </w:r>
      <w:r>
        <w:rPr>
          <w:sz w:val="21"/>
          <w:u w:val="none"/>
        </w:rPr>
        <w:t>（项目名称</w:t>
      </w:r>
      <w:r>
        <w:rPr>
          <w:spacing w:val="-10"/>
          <w:sz w:val="21"/>
          <w:u w:val="none"/>
        </w:rPr>
        <w:t>）</w:t>
      </w:r>
      <w:r>
        <w:rPr>
          <w:rFonts w:ascii="Times New Roman" w:eastAsia="Times New Roman"/>
          <w:sz w:val="21"/>
          <w:u w:val="single"/>
        </w:rPr>
        <w:tab/>
      </w:r>
      <w:r>
        <w:rPr>
          <w:sz w:val="21"/>
          <w:u w:val="none"/>
        </w:rPr>
        <w:t>（标段名称</w:t>
      </w:r>
      <w:r>
        <w:rPr>
          <w:spacing w:val="-10"/>
          <w:sz w:val="21"/>
          <w:u w:val="none"/>
        </w:rPr>
        <w:t>）</w:t>
      </w:r>
      <w:r>
        <w:rPr>
          <w:rFonts w:ascii="Times New Roman" w:eastAsia="Times New Roman"/>
          <w:sz w:val="21"/>
          <w:u w:val="single"/>
        </w:rPr>
        <w:tab/>
      </w:r>
      <w:r>
        <w:rPr>
          <w:sz w:val="21"/>
          <w:u w:val="none"/>
        </w:rPr>
        <w:t>（</w:t>
      </w:r>
      <w:r>
        <w:rPr>
          <w:spacing w:val="-10"/>
          <w:sz w:val="21"/>
          <w:u w:val="none"/>
        </w:rPr>
        <w:t>服</w:t>
      </w:r>
    </w:p>
    <w:p w14:paraId="55270A6A">
      <w:pPr>
        <w:tabs>
          <w:tab w:val="left" w:pos="4797"/>
        </w:tabs>
        <w:spacing w:before="207" w:line="396" w:lineRule="auto"/>
        <w:ind w:left="1223" w:right="4133" w:hanging="421"/>
        <w:jc w:val="left"/>
        <w:rPr>
          <w:sz w:val="21"/>
        </w:rPr>
      </w:pPr>
      <w:r>
        <w:rPr>
          <w:spacing w:val="-2"/>
          <w:sz w:val="21"/>
        </w:rPr>
        <w:t>务名称）的投标文件已被我方接受，被确定为中标人。</w:t>
      </w:r>
      <w:r>
        <w:rPr>
          <w:spacing w:val="-4"/>
          <w:sz w:val="21"/>
        </w:rPr>
        <w:t>中标价：</w:t>
      </w:r>
      <w:r>
        <w:rPr>
          <w:rFonts w:ascii="Times New Roman" w:eastAsia="Times New Roman"/>
          <w:sz w:val="21"/>
          <w:u w:val="single"/>
        </w:rPr>
        <w:tab/>
      </w:r>
      <w:r>
        <w:rPr>
          <w:spacing w:val="-6"/>
          <w:sz w:val="21"/>
          <w:u w:val="none"/>
        </w:rPr>
        <w:t>元。</w:t>
      </w:r>
    </w:p>
    <w:p w14:paraId="48B3ECFE">
      <w:pPr>
        <w:tabs>
          <w:tab w:val="left" w:pos="4258"/>
        </w:tabs>
        <w:spacing w:before="30"/>
        <w:ind w:left="1223" w:right="0" w:firstLine="0"/>
        <w:jc w:val="left"/>
        <w:rPr>
          <w:sz w:val="21"/>
        </w:rPr>
      </w:pPr>
      <w:r>
        <w:rPr>
          <w:sz w:val="21"/>
        </w:rPr>
        <w:t>服务期限</w:t>
      </w:r>
      <w:r>
        <w:rPr>
          <w:spacing w:val="-10"/>
          <w:sz w:val="21"/>
        </w:rPr>
        <w:t>：</w:t>
      </w:r>
      <w:r>
        <w:rPr>
          <w:rFonts w:ascii="Times New Roman" w:eastAsia="Times New Roman"/>
          <w:sz w:val="21"/>
          <w:u w:val="single"/>
        </w:rPr>
        <w:tab/>
      </w:r>
      <w:r>
        <w:rPr>
          <w:rFonts w:ascii="Times New Roman" w:eastAsia="Times New Roman"/>
          <w:sz w:val="21"/>
          <w:u w:val="none"/>
        </w:rPr>
        <w:t xml:space="preserve"> </w:t>
      </w:r>
      <w:r>
        <w:rPr>
          <w:spacing w:val="30"/>
          <w:sz w:val="21"/>
          <w:u w:val="none"/>
        </w:rPr>
        <w:t>日历天。</w:t>
      </w:r>
    </w:p>
    <w:p w14:paraId="5172B287">
      <w:pPr>
        <w:tabs>
          <w:tab w:val="left" w:pos="4271"/>
        </w:tabs>
        <w:spacing w:before="178"/>
        <w:ind w:left="1223" w:right="0" w:firstLine="0"/>
        <w:jc w:val="left"/>
        <w:rPr>
          <w:sz w:val="21"/>
        </w:rPr>
      </w:pPr>
      <w:r>
        <w:rPr>
          <w:sz w:val="21"/>
        </w:rPr>
        <w:t>项目负责人</w:t>
      </w:r>
      <w:r>
        <w:rPr>
          <w:spacing w:val="-10"/>
          <w:sz w:val="21"/>
        </w:rPr>
        <w:t>：</w:t>
      </w:r>
      <w:r>
        <w:rPr>
          <w:rFonts w:ascii="Times New Roman" w:eastAsia="Times New Roman"/>
          <w:sz w:val="21"/>
          <w:u w:val="single"/>
        </w:rPr>
        <w:tab/>
      </w:r>
      <w:r>
        <w:rPr>
          <w:sz w:val="21"/>
          <w:u w:val="none"/>
        </w:rPr>
        <w:t>（姓名</w:t>
      </w:r>
      <w:r>
        <w:rPr>
          <w:spacing w:val="-105"/>
          <w:sz w:val="21"/>
          <w:u w:val="none"/>
        </w:rPr>
        <w:t>）</w:t>
      </w:r>
      <w:r>
        <w:rPr>
          <w:spacing w:val="-10"/>
          <w:sz w:val="21"/>
          <w:u w:val="none"/>
        </w:rPr>
        <w:t>。</w:t>
      </w:r>
    </w:p>
    <w:p w14:paraId="03B36501">
      <w:pPr>
        <w:tabs>
          <w:tab w:val="left" w:pos="4271"/>
          <w:tab w:val="left" w:pos="7215"/>
        </w:tabs>
        <w:spacing w:before="162" w:line="381" w:lineRule="auto"/>
        <w:ind w:left="802" w:right="878" w:firstLine="420"/>
        <w:jc w:val="left"/>
        <w:rPr>
          <w:sz w:val="21"/>
        </w:rPr>
      </w:pPr>
      <w:r>
        <w:rPr>
          <w:spacing w:val="-2"/>
          <w:sz w:val="21"/>
        </w:rPr>
        <w:t>请你方在接到本通知书后的</w:t>
      </w:r>
      <w:r>
        <w:rPr>
          <w:rFonts w:ascii="Times New Roman" w:hAnsi="Times New Roman" w:eastAsia="Times New Roman"/>
          <w:sz w:val="21"/>
          <w:u w:val="single"/>
        </w:rPr>
        <w:tab/>
      </w:r>
      <w:r>
        <w:rPr>
          <w:spacing w:val="-4"/>
          <w:sz w:val="21"/>
          <w:u w:val="none"/>
        </w:rPr>
        <w:t>日内到</w:t>
      </w:r>
      <w:r>
        <w:rPr>
          <w:rFonts w:ascii="Times New Roman" w:hAnsi="Times New Roman" w:eastAsia="Times New Roman"/>
          <w:sz w:val="21"/>
          <w:u w:val="single"/>
        </w:rPr>
        <w:tab/>
      </w:r>
      <w:r>
        <w:rPr>
          <w:spacing w:val="-2"/>
          <w:sz w:val="21"/>
          <w:u w:val="none"/>
        </w:rPr>
        <w:t>（指定地点）与我方签订合同，在此之前按招标文件第二章</w:t>
      </w:r>
      <w:r>
        <w:rPr>
          <w:rFonts w:ascii="Calibri" w:hAnsi="Calibri" w:eastAsia="Calibri"/>
          <w:spacing w:val="-2"/>
          <w:sz w:val="21"/>
          <w:u w:val="none"/>
        </w:rPr>
        <w:t>“</w:t>
      </w:r>
      <w:r>
        <w:rPr>
          <w:spacing w:val="-2"/>
          <w:sz w:val="21"/>
          <w:u w:val="none"/>
        </w:rPr>
        <w:t>投标人须知</w:t>
      </w:r>
      <w:r>
        <w:rPr>
          <w:rFonts w:ascii="Calibri" w:hAnsi="Calibri" w:eastAsia="Calibri"/>
          <w:spacing w:val="-2"/>
          <w:sz w:val="21"/>
          <w:u w:val="none"/>
        </w:rPr>
        <w:t>”</w:t>
      </w:r>
      <w:r>
        <w:rPr>
          <w:spacing w:val="-2"/>
          <w:sz w:val="21"/>
          <w:u w:val="none"/>
        </w:rPr>
        <w:t>的规定向我方提交履约保证金。</w:t>
      </w:r>
    </w:p>
    <w:p w14:paraId="1791814F">
      <w:pPr>
        <w:spacing w:before="18" w:line="384" w:lineRule="auto"/>
        <w:ind w:left="1223" w:right="1081" w:firstLine="0"/>
        <w:jc w:val="left"/>
        <w:rPr>
          <w:sz w:val="21"/>
        </w:rPr>
      </w:pPr>
      <w:r>
        <w:rPr>
          <w:spacing w:val="-2"/>
          <w:sz w:val="21"/>
        </w:rPr>
        <w:t>随附的投标文件澄清、说明、补正事项纪要（如有</w:t>
      </w:r>
      <w:r>
        <w:rPr>
          <w:spacing w:val="-105"/>
          <w:sz w:val="21"/>
        </w:rPr>
        <w:t>）</w:t>
      </w:r>
      <w:r>
        <w:rPr>
          <w:spacing w:val="-2"/>
          <w:sz w:val="21"/>
        </w:rPr>
        <w:t>，是本中标通知书的组成部分。特此通知。</w:t>
      </w:r>
    </w:p>
    <w:p w14:paraId="1C7AFA2E">
      <w:pPr>
        <w:pStyle w:val="10"/>
        <w:spacing w:before="174"/>
        <w:rPr>
          <w:sz w:val="21"/>
        </w:rPr>
      </w:pPr>
    </w:p>
    <w:p w14:paraId="2C596E28">
      <w:pPr>
        <w:spacing w:before="0"/>
        <w:ind w:left="1223" w:right="0" w:firstLine="0"/>
        <w:jc w:val="left"/>
        <w:rPr>
          <w:sz w:val="21"/>
        </w:rPr>
      </w:pPr>
      <w:r>
        <w:rPr>
          <w:sz w:val="21"/>
        </w:rPr>
        <w:t>附：澄清、说明、补正事项纪要（如有</w:t>
      </w:r>
      <w:r>
        <w:rPr>
          <w:spacing w:val="-10"/>
          <w:sz w:val="21"/>
        </w:rPr>
        <w:t>）</w:t>
      </w:r>
    </w:p>
    <w:p w14:paraId="64B99E3E">
      <w:pPr>
        <w:pStyle w:val="10"/>
        <w:rPr>
          <w:sz w:val="21"/>
        </w:rPr>
      </w:pPr>
    </w:p>
    <w:p w14:paraId="2CF19A22">
      <w:pPr>
        <w:pStyle w:val="10"/>
        <w:rPr>
          <w:sz w:val="21"/>
        </w:rPr>
      </w:pPr>
    </w:p>
    <w:p w14:paraId="3EADF3C5">
      <w:pPr>
        <w:pStyle w:val="10"/>
        <w:rPr>
          <w:sz w:val="21"/>
        </w:rPr>
      </w:pPr>
    </w:p>
    <w:p w14:paraId="47B0C2A3">
      <w:pPr>
        <w:pStyle w:val="10"/>
        <w:spacing w:before="31"/>
        <w:rPr>
          <w:sz w:val="21"/>
        </w:rPr>
      </w:pPr>
    </w:p>
    <w:p w14:paraId="6518AACD">
      <w:pPr>
        <w:tabs>
          <w:tab w:val="left" w:pos="7845"/>
        </w:tabs>
        <w:spacing w:before="1"/>
        <w:ind w:left="5218" w:right="0" w:firstLine="0"/>
        <w:jc w:val="left"/>
        <w:rPr>
          <w:sz w:val="21"/>
        </w:rPr>
      </w:pPr>
      <w:r>
        <w:rPr>
          <w:sz w:val="21"/>
        </w:rPr>
        <w:t>招标人</w:t>
      </w:r>
      <w:r>
        <w:rPr>
          <w:spacing w:val="-10"/>
          <w:sz w:val="21"/>
        </w:rPr>
        <w:t>：</w:t>
      </w:r>
      <w:r>
        <w:rPr>
          <w:rFonts w:ascii="Times New Roman" w:eastAsia="Times New Roman"/>
          <w:sz w:val="21"/>
          <w:u w:val="single"/>
        </w:rPr>
        <w:tab/>
      </w:r>
      <w:r>
        <w:rPr>
          <w:sz w:val="21"/>
          <w:u w:val="none"/>
        </w:rPr>
        <w:t>（盖单位章</w:t>
      </w:r>
      <w:r>
        <w:rPr>
          <w:spacing w:val="-10"/>
          <w:sz w:val="21"/>
          <w:u w:val="none"/>
        </w:rPr>
        <w:t>）</w:t>
      </w:r>
    </w:p>
    <w:p w14:paraId="368261BE">
      <w:pPr>
        <w:tabs>
          <w:tab w:val="left" w:pos="8266"/>
        </w:tabs>
        <w:spacing w:before="267"/>
        <w:ind w:left="5218" w:right="0" w:firstLine="0"/>
        <w:jc w:val="left"/>
        <w:rPr>
          <w:sz w:val="21"/>
        </w:rPr>
      </w:pPr>
      <w:r>
        <w:rPr>
          <w:sz w:val="21"/>
        </w:rPr>
        <w:t>法定代表人</w:t>
      </w:r>
      <w:r>
        <w:rPr>
          <w:spacing w:val="-10"/>
          <w:sz w:val="21"/>
        </w:rPr>
        <w:t>：</w:t>
      </w:r>
      <w:r>
        <w:rPr>
          <w:rFonts w:ascii="Times New Roman" w:eastAsia="Times New Roman"/>
          <w:sz w:val="21"/>
          <w:u w:val="single"/>
        </w:rPr>
        <w:tab/>
      </w:r>
      <w:r>
        <w:rPr>
          <w:sz w:val="21"/>
          <w:u w:val="none"/>
        </w:rPr>
        <w:t>（签字</w:t>
      </w:r>
      <w:r>
        <w:rPr>
          <w:spacing w:val="-10"/>
          <w:sz w:val="21"/>
          <w:u w:val="none"/>
        </w:rPr>
        <w:t>）</w:t>
      </w:r>
    </w:p>
    <w:p w14:paraId="1D44DABD">
      <w:pPr>
        <w:tabs>
          <w:tab w:val="left" w:pos="6689"/>
          <w:tab w:val="left" w:pos="7740"/>
          <w:tab w:val="left" w:pos="8792"/>
        </w:tabs>
        <w:spacing w:before="268"/>
        <w:ind w:left="5848" w:right="0" w:firstLine="0"/>
        <w:jc w:val="lef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44A0710A">
      <w:pPr>
        <w:spacing w:after="0"/>
        <w:jc w:val="left"/>
        <w:rPr>
          <w:sz w:val="21"/>
        </w:rPr>
        <w:sectPr>
          <w:pgSz w:w="11910" w:h="16850"/>
          <w:pgMar w:top="1560" w:right="920" w:bottom="1060" w:left="1000" w:header="0" w:footer="866" w:gutter="0"/>
          <w:cols w:space="720" w:num="1"/>
        </w:sectPr>
      </w:pPr>
    </w:p>
    <w:p w14:paraId="045A9040">
      <w:pPr>
        <w:pStyle w:val="10"/>
        <w:spacing w:before="37"/>
        <w:ind w:left="1087"/>
      </w:pPr>
      <w:bookmarkStart w:id="246" w:name="附表九：中标结果通知书"/>
      <w:bookmarkEnd w:id="246"/>
      <w:r>
        <w:rPr>
          <w:spacing w:val="-1"/>
        </w:rPr>
        <w:t>附表九：中标结果通知书</w:t>
      </w:r>
    </w:p>
    <w:p w14:paraId="05C1D0F0">
      <w:pPr>
        <w:pStyle w:val="10"/>
        <w:spacing w:before="3"/>
        <w:rPr>
          <w:sz w:val="28"/>
        </w:rPr>
      </w:pPr>
    </w:p>
    <w:p w14:paraId="527876BE">
      <w:pPr>
        <w:spacing w:before="0"/>
        <w:ind w:left="0" w:right="93" w:firstLine="0"/>
        <w:jc w:val="center"/>
        <w:rPr>
          <w:sz w:val="28"/>
        </w:rPr>
      </w:pPr>
      <w:r>
        <w:rPr>
          <w:spacing w:val="2"/>
          <w:sz w:val="28"/>
        </w:rPr>
        <w:t>中标结果通知书</w:t>
      </w:r>
    </w:p>
    <w:p w14:paraId="14796F96">
      <w:pPr>
        <w:pStyle w:val="10"/>
        <w:rPr>
          <w:sz w:val="28"/>
        </w:rPr>
      </w:pPr>
    </w:p>
    <w:p w14:paraId="533BC69C">
      <w:pPr>
        <w:pStyle w:val="10"/>
        <w:spacing w:before="181"/>
        <w:rPr>
          <w:sz w:val="28"/>
        </w:rPr>
      </w:pPr>
    </w:p>
    <w:p w14:paraId="6AAD6E40">
      <w:pPr>
        <w:tabs>
          <w:tab w:val="left" w:pos="3114"/>
        </w:tabs>
        <w:spacing w:before="0"/>
        <w:ind w:left="802" w:right="0" w:firstLine="0"/>
        <w:jc w:val="left"/>
        <w:rPr>
          <w:sz w:val="21"/>
        </w:rPr>
      </w:pPr>
      <w:r>
        <w:rPr>
          <w:rFonts w:ascii="Times New Roman" w:eastAsia="Times New Roman"/>
          <w:sz w:val="21"/>
          <w:u w:val="single"/>
        </w:rPr>
        <w:tab/>
      </w:r>
      <w:r>
        <w:rPr>
          <w:sz w:val="21"/>
          <w:u w:val="none"/>
        </w:rPr>
        <w:t>（未中标人名称</w:t>
      </w:r>
      <w:r>
        <w:rPr>
          <w:spacing w:val="-110"/>
          <w:sz w:val="21"/>
          <w:u w:val="none"/>
        </w:rPr>
        <w:t>）</w:t>
      </w:r>
      <w:r>
        <w:rPr>
          <w:spacing w:val="-5"/>
          <w:sz w:val="21"/>
          <w:u w:val="none"/>
        </w:rPr>
        <w:t>：</w:t>
      </w:r>
    </w:p>
    <w:p w14:paraId="7CBC2687">
      <w:pPr>
        <w:pStyle w:val="10"/>
        <w:rPr>
          <w:sz w:val="21"/>
        </w:rPr>
      </w:pPr>
    </w:p>
    <w:p w14:paraId="09BB5EB0">
      <w:pPr>
        <w:pStyle w:val="10"/>
        <w:spacing w:before="142"/>
        <w:rPr>
          <w:sz w:val="21"/>
        </w:rPr>
      </w:pPr>
    </w:p>
    <w:p w14:paraId="1278813C">
      <w:pPr>
        <w:tabs>
          <w:tab w:val="left" w:pos="3391"/>
          <w:tab w:val="left" w:pos="6335"/>
        </w:tabs>
        <w:spacing w:before="0"/>
        <w:ind w:left="342" w:right="0" w:firstLine="0"/>
        <w:jc w:val="center"/>
        <w:rPr>
          <w:sz w:val="21"/>
        </w:rPr>
      </w:pPr>
      <w:r>
        <w:rPr>
          <w:sz w:val="21"/>
        </w:rPr>
        <w:t>我方已接</w:t>
      </w:r>
      <w:r>
        <w:rPr>
          <w:spacing w:val="-10"/>
          <w:sz w:val="21"/>
        </w:rPr>
        <w:t>受</w:t>
      </w:r>
      <w:r>
        <w:rPr>
          <w:rFonts w:ascii="Times New Roman" w:eastAsia="Times New Roman"/>
          <w:sz w:val="21"/>
          <w:u w:val="single"/>
        </w:rPr>
        <w:tab/>
      </w:r>
      <w:r>
        <w:rPr>
          <w:sz w:val="21"/>
          <w:u w:val="none"/>
        </w:rPr>
        <w:t>（中标人名称）</w:t>
      </w:r>
      <w:r>
        <w:rPr>
          <w:spacing w:val="-10"/>
          <w:sz w:val="21"/>
          <w:u w:val="none"/>
        </w:rPr>
        <w:t>于</w:t>
      </w:r>
      <w:r>
        <w:rPr>
          <w:rFonts w:ascii="Times New Roman" w:eastAsia="Times New Roman"/>
          <w:sz w:val="21"/>
          <w:u w:val="single"/>
        </w:rPr>
        <w:tab/>
      </w:r>
      <w:r>
        <w:rPr>
          <w:sz w:val="21"/>
          <w:u w:val="none"/>
        </w:rPr>
        <w:t>（投标日期）所递</w:t>
      </w:r>
      <w:r>
        <w:rPr>
          <w:spacing w:val="-10"/>
          <w:sz w:val="21"/>
          <w:u w:val="none"/>
        </w:rPr>
        <w:t>交</w:t>
      </w:r>
    </w:p>
    <w:p w14:paraId="0A76D27A">
      <w:pPr>
        <w:tabs>
          <w:tab w:val="left" w:pos="2153"/>
          <w:tab w:val="left" w:pos="4121"/>
          <w:tab w:val="left" w:pos="6299"/>
        </w:tabs>
        <w:spacing w:before="207"/>
        <w:ind w:left="802" w:right="0" w:firstLine="0"/>
        <w:jc w:val="left"/>
        <w:rPr>
          <w:sz w:val="21"/>
        </w:rPr>
      </w:pPr>
      <w:r>
        <w:rPr>
          <w:spacing w:val="-10"/>
          <w:sz w:val="21"/>
        </w:rPr>
        <w:t>的</w:t>
      </w:r>
      <w:r>
        <w:rPr>
          <w:rFonts w:ascii="Times New Roman" w:eastAsia="Times New Roman"/>
          <w:sz w:val="21"/>
          <w:u w:val="single"/>
        </w:rPr>
        <w:tab/>
      </w:r>
      <w:r>
        <w:rPr>
          <w:sz w:val="21"/>
          <w:u w:val="none"/>
        </w:rPr>
        <w:t>（项目名称</w:t>
      </w:r>
      <w:r>
        <w:rPr>
          <w:spacing w:val="-10"/>
          <w:sz w:val="21"/>
          <w:u w:val="none"/>
        </w:rPr>
        <w:t>）</w:t>
      </w:r>
      <w:r>
        <w:rPr>
          <w:rFonts w:ascii="Times New Roman" w:eastAsia="Times New Roman"/>
          <w:sz w:val="21"/>
          <w:u w:val="single"/>
        </w:rPr>
        <w:tab/>
      </w:r>
      <w:r>
        <w:rPr>
          <w:sz w:val="21"/>
          <w:u w:val="none"/>
        </w:rPr>
        <w:t>（标段名称</w:t>
      </w:r>
      <w:r>
        <w:rPr>
          <w:spacing w:val="-10"/>
          <w:sz w:val="21"/>
          <w:u w:val="none"/>
        </w:rPr>
        <w:t>）</w:t>
      </w:r>
      <w:r>
        <w:rPr>
          <w:rFonts w:ascii="Times New Roman" w:eastAsia="Times New Roman"/>
          <w:sz w:val="21"/>
          <w:u w:val="single"/>
        </w:rPr>
        <w:tab/>
      </w:r>
      <w:r>
        <w:rPr>
          <w:spacing w:val="-2"/>
          <w:sz w:val="21"/>
          <w:u w:val="none"/>
        </w:rPr>
        <w:t>（服务名称）</w:t>
      </w:r>
      <w:r>
        <w:rPr>
          <w:spacing w:val="-9"/>
          <w:sz w:val="21"/>
          <w:u w:val="none"/>
        </w:rPr>
        <w:t xml:space="preserve"> </w:t>
      </w:r>
      <w:r>
        <w:rPr>
          <w:spacing w:val="-2"/>
          <w:sz w:val="21"/>
          <w:u w:val="none"/>
        </w:rPr>
        <w:t>投标文件，确</w:t>
      </w:r>
      <w:r>
        <w:rPr>
          <w:spacing w:val="-10"/>
          <w:sz w:val="21"/>
          <w:u w:val="none"/>
        </w:rPr>
        <w:t>定</w:t>
      </w:r>
    </w:p>
    <w:p w14:paraId="476CC3F1">
      <w:pPr>
        <w:tabs>
          <w:tab w:val="left" w:pos="1643"/>
        </w:tabs>
        <w:spacing w:before="208"/>
        <w:ind w:left="802" w:right="0" w:firstLine="0"/>
        <w:jc w:val="left"/>
        <w:rPr>
          <w:sz w:val="21"/>
        </w:rPr>
      </w:pPr>
      <w:r>
        <w:rPr>
          <w:rFonts w:ascii="Times New Roman" w:eastAsia="Times New Roman"/>
          <w:sz w:val="21"/>
          <w:u w:val="single"/>
        </w:rPr>
        <w:tab/>
      </w:r>
      <w:r>
        <w:rPr>
          <w:sz w:val="21"/>
          <w:u w:val="none"/>
        </w:rPr>
        <w:t>（中标人名称）</w:t>
      </w:r>
      <w:r>
        <w:rPr>
          <w:spacing w:val="-2"/>
          <w:sz w:val="21"/>
          <w:u w:val="none"/>
        </w:rPr>
        <w:t>为中标人。</w:t>
      </w:r>
    </w:p>
    <w:p w14:paraId="76EBD233">
      <w:pPr>
        <w:spacing w:before="207"/>
        <w:ind w:left="1223" w:right="0" w:firstLine="0"/>
        <w:jc w:val="left"/>
        <w:rPr>
          <w:rFonts w:ascii="Calibri" w:eastAsia="Calibri"/>
          <w:sz w:val="21"/>
        </w:rPr>
      </w:pPr>
      <w:r>
        <w:rPr>
          <w:spacing w:val="-2"/>
          <w:sz w:val="21"/>
        </w:rPr>
        <w:t>感谢你单位对我方工作的大力支持</w:t>
      </w:r>
      <w:r>
        <w:rPr>
          <w:rFonts w:ascii="Calibri" w:eastAsia="Calibri"/>
          <w:spacing w:val="-10"/>
          <w:sz w:val="21"/>
        </w:rPr>
        <w:t>!</w:t>
      </w:r>
    </w:p>
    <w:p w14:paraId="09E41A88">
      <w:pPr>
        <w:pStyle w:val="10"/>
        <w:rPr>
          <w:rFonts w:ascii="Calibri"/>
          <w:sz w:val="21"/>
        </w:rPr>
      </w:pPr>
    </w:p>
    <w:p w14:paraId="09BD471F">
      <w:pPr>
        <w:pStyle w:val="10"/>
        <w:rPr>
          <w:rFonts w:ascii="Calibri"/>
          <w:sz w:val="21"/>
        </w:rPr>
      </w:pPr>
    </w:p>
    <w:p w14:paraId="3EFF46CF">
      <w:pPr>
        <w:pStyle w:val="10"/>
        <w:rPr>
          <w:rFonts w:ascii="Calibri"/>
          <w:sz w:val="21"/>
        </w:rPr>
      </w:pPr>
    </w:p>
    <w:p w14:paraId="4EF43B84">
      <w:pPr>
        <w:pStyle w:val="10"/>
        <w:rPr>
          <w:rFonts w:ascii="Calibri"/>
          <w:sz w:val="21"/>
        </w:rPr>
      </w:pPr>
    </w:p>
    <w:p w14:paraId="12035930">
      <w:pPr>
        <w:pStyle w:val="10"/>
        <w:rPr>
          <w:rFonts w:ascii="Calibri"/>
          <w:sz w:val="21"/>
        </w:rPr>
      </w:pPr>
    </w:p>
    <w:p w14:paraId="7C6D1B52">
      <w:pPr>
        <w:pStyle w:val="10"/>
        <w:spacing w:before="110"/>
        <w:rPr>
          <w:rFonts w:ascii="Calibri"/>
          <w:sz w:val="21"/>
        </w:rPr>
      </w:pPr>
    </w:p>
    <w:p w14:paraId="77579F8E">
      <w:pPr>
        <w:tabs>
          <w:tab w:val="left" w:pos="7845"/>
        </w:tabs>
        <w:spacing w:before="1"/>
        <w:ind w:left="5428" w:right="0" w:firstLine="0"/>
        <w:jc w:val="left"/>
        <w:rPr>
          <w:sz w:val="21"/>
        </w:rPr>
      </w:pPr>
      <w:r>
        <w:rPr>
          <w:sz w:val="21"/>
        </w:rPr>
        <w:t>招标人</w:t>
      </w:r>
      <w:r>
        <w:rPr>
          <w:spacing w:val="-10"/>
          <w:sz w:val="21"/>
        </w:rPr>
        <w:t>：</w:t>
      </w:r>
      <w:r>
        <w:rPr>
          <w:rFonts w:ascii="Times New Roman" w:eastAsia="Times New Roman"/>
          <w:sz w:val="21"/>
          <w:u w:val="single"/>
        </w:rPr>
        <w:tab/>
      </w:r>
      <w:r>
        <w:rPr>
          <w:sz w:val="21"/>
          <w:u w:val="none"/>
        </w:rPr>
        <w:t>（盖单位章</w:t>
      </w:r>
      <w:r>
        <w:rPr>
          <w:spacing w:val="-10"/>
          <w:sz w:val="21"/>
          <w:u w:val="none"/>
        </w:rPr>
        <w:t>）</w:t>
      </w:r>
    </w:p>
    <w:p w14:paraId="65A66667">
      <w:pPr>
        <w:pStyle w:val="10"/>
        <w:rPr>
          <w:sz w:val="21"/>
        </w:rPr>
      </w:pPr>
    </w:p>
    <w:p w14:paraId="10966E5C">
      <w:pPr>
        <w:pStyle w:val="10"/>
        <w:spacing w:before="141"/>
        <w:rPr>
          <w:sz w:val="21"/>
        </w:rPr>
      </w:pPr>
    </w:p>
    <w:p w14:paraId="3E1C1DE2">
      <w:pPr>
        <w:tabs>
          <w:tab w:val="left" w:pos="7004"/>
          <w:tab w:val="left" w:pos="7951"/>
          <w:tab w:val="left" w:pos="8897"/>
        </w:tabs>
        <w:spacing w:before="1"/>
        <w:ind w:left="6269" w:right="0" w:firstLine="0"/>
        <w:jc w:val="lef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4576566C">
      <w:pPr>
        <w:spacing w:after="0"/>
        <w:jc w:val="left"/>
        <w:rPr>
          <w:sz w:val="21"/>
        </w:rPr>
        <w:sectPr>
          <w:pgSz w:w="11910" w:h="16850"/>
          <w:pgMar w:top="1560" w:right="920" w:bottom="1060" w:left="1000" w:header="0" w:footer="866" w:gutter="0"/>
          <w:cols w:space="720" w:num="1"/>
        </w:sectPr>
      </w:pPr>
    </w:p>
    <w:p w14:paraId="441F8A1C">
      <w:pPr>
        <w:pStyle w:val="10"/>
        <w:spacing w:before="37"/>
        <w:ind w:left="1087"/>
      </w:pPr>
      <w:bookmarkStart w:id="247" w:name="附表十：异议函"/>
      <w:bookmarkEnd w:id="247"/>
      <w:r>
        <w:rPr>
          <w:spacing w:val="-2"/>
        </w:rPr>
        <w:t>附表十：异议函</w:t>
      </w:r>
    </w:p>
    <w:p w14:paraId="3499EA6C">
      <w:pPr>
        <w:pStyle w:val="10"/>
        <w:spacing w:before="3"/>
        <w:rPr>
          <w:sz w:val="28"/>
        </w:rPr>
      </w:pPr>
    </w:p>
    <w:p w14:paraId="0F80AC89">
      <w:pPr>
        <w:spacing w:before="0"/>
        <w:ind w:left="0" w:right="62" w:firstLine="0"/>
        <w:jc w:val="center"/>
        <w:rPr>
          <w:sz w:val="28"/>
        </w:rPr>
      </w:pPr>
      <w:r>
        <w:rPr>
          <w:spacing w:val="11"/>
          <w:sz w:val="28"/>
        </w:rPr>
        <w:t>异议函</w:t>
      </w:r>
    </w:p>
    <w:p w14:paraId="3E062E86">
      <w:pPr>
        <w:pStyle w:val="10"/>
        <w:rPr>
          <w:sz w:val="21"/>
        </w:rPr>
      </w:pPr>
    </w:p>
    <w:p w14:paraId="20E5039A">
      <w:pPr>
        <w:pStyle w:val="10"/>
        <w:spacing w:before="93"/>
        <w:rPr>
          <w:sz w:val="21"/>
        </w:rPr>
      </w:pPr>
    </w:p>
    <w:p w14:paraId="386A701C">
      <w:pPr>
        <w:tabs>
          <w:tab w:val="left" w:pos="7998"/>
        </w:tabs>
        <w:spacing w:before="0"/>
        <w:ind w:left="6269" w:right="0" w:firstLine="0"/>
        <w:jc w:val="lef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3090554A">
      <w:pPr>
        <w:pStyle w:val="10"/>
        <w:rPr>
          <w:rFonts w:ascii="Times New Roman"/>
          <w:sz w:val="21"/>
        </w:rPr>
      </w:pPr>
    </w:p>
    <w:p w14:paraId="52B3ED4C">
      <w:pPr>
        <w:pStyle w:val="10"/>
        <w:spacing w:before="40"/>
        <w:rPr>
          <w:rFonts w:ascii="Times New Roman"/>
          <w:sz w:val="21"/>
        </w:rPr>
      </w:pPr>
    </w:p>
    <w:p w14:paraId="6FFC90DA">
      <w:pPr>
        <w:tabs>
          <w:tab w:val="left" w:pos="2484"/>
        </w:tabs>
        <w:spacing w:before="0"/>
        <w:ind w:left="802" w:right="0" w:firstLine="0"/>
        <w:jc w:val="left"/>
        <w:rPr>
          <w:sz w:val="21"/>
        </w:rPr>
      </w:pPr>
      <w:r>
        <w:rPr>
          <w:rFonts w:ascii="Calibri" w:eastAsia="Calibri"/>
          <w:sz w:val="21"/>
          <w:u w:val="single"/>
        </w:rPr>
        <w:tab/>
      </w:r>
      <w:r>
        <w:rPr>
          <w:rFonts w:ascii="Calibri" w:eastAsia="Calibri"/>
          <w:spacing w:val="-2"/>
          <w:sz w:val="21"/>
          <w:u w:val="none"/>
        </w:rPr>
        <w:t>(</w:t>
      </w:r>
      <w:r>
        <w:rPr>
          <w:spacing w:val="-2"/>
          <w:sz w:val="21"/>
          <w:u w:val="none"/>
        </w:rPr>
        <w:t>招标人名称</w:t>
      </w:r>
      <w:r>
        <w:rPr>
          <w:rFonts w:ascii="Calibri" w:eastAsia="Calibri"/>
          <w:spacing w:val="-5"/>
          <w:sz w:val="21"/>
          <w:u w:val="none"/>
        </w:rPr>
        <w:t>)</w:t>
      </w:r>
      <w:r>
        <w:rPr>
          <w:spacing w:val="-5"/>
          <w:sz w:val="21"/>
          <w:u w:val="none"/>
        </w:rPr>
        <w:t>：</w:t>
      </w:r>
    </w:p>
    <w:p w14:paraId="626B20DF">
      <w:pPr>
        <w:tabs>
          <w:tab w:val="left" w:pos="4845"/>
          <w:tab w:val="left" w:pos="6794"/>
          <w:tab w:val="left" w:pos="8687"/>
        </w:tabs>
        <w:spacing w:before="132" w:line="355" w:lineRule="auto"/>
        <w:ind w:left="802" w:right="879" w:firstLine="420"/>
        <w:jc w:val="left"/>
        <w:rPr>
          <w:sz w:val="21"/>
        </w:rPr>
      </w:pPr>
      <w:r>
        <w:rPr>
          <w:spacing w:val="-2"/>
          <w:sz w:val="21"/>
        </w:rPr>
        <w:t>我方已研究（看到）你方发出的</w:t>
      </w:r>
      <w:r>
        <w:rPr>
          <w:rFonts w:ascii="Times New Roman" w:eastAsia="Times New Roman"/>
          <w:sz w:val="21"/>
          <w:u w:val="single"/>
        </w:rPr>
        <w:tab/>
      </w:r>
      <w:r>
        <w:rPr>
          <w:rFonts w:ascii="Times New Roman" w:eastAsia="Times New Roman"/>
          <w:sz w:val="21"/>
          <w:u w:val="none"/>
        </w:rPr>
        <w:t xml:space="preserve"> </w:t>
      </w:r>
      <w:r>
        <w:rPr>
          <w:sz w:val="21"/>
          <w:u w:val="none"/>
        </w:rPr>
        <w:t>（项目名称）</w:t>
      </w:r>
      <w:r>
        <w:rPr>
          <w:rFonts w:ascii="Times New Roman" w:eastAsia="Times New Roman"/>
          <w:sz w:val="21"/>
          <w:u w:val="single"/>
        </w:rPr>
        <w:tab/>
      </w:r>
      <w:r>
        <w:rPr>
          <w:spacing w:val="-2"/>
          <w:sz w:val="21"/>
          <w:u w:val="none"/>
        </w:rPr>
        <w:t>（标段名称）</w:t>
      </w:r>
      <w:r>
        <w:rPr>
          <w:rFonts w:ascii="Times New Roman" w:eastAsia="Times New Roman"/>
          <w:sz w:val="21"/>
          <w:u w:val="single"/>
        </w:rPr>
        <w:tab/>
      </w:r>
      <w:r>
        <w:rPr>
          <w:spacing w:val="-6"/>
          <w:sz w:val="21"/>
          <w:u w:val="none"/>
        </w:rPr>
        <w:t>（服</w:t>
      </w:r>
      <w:r>
        <w:rPr>
          <w:spacing w:val="-2"/>
          <w:sz w:val="21"/>
          <w:u w:val="none"/>
        </w:rPr>
        <w:t>务名称）招标文件（或评标结果公示</w:t>
      </w:r>
      <w:r>
        <w:rPr>
          <w:spacing w:val="-105"/>
          <w:sz w:val="21"/>
          <w:u w:val="none"/>
        </w:rPr>
        <w:t>）</w:t>
      </w:r>
      <w:r>
        <w:rPr>
          <w:sz w:val="21"/>
          <w:u w:val="none"/>
        </w:rPr>
        <w:t>，</w:t>
      </w:r>
      <w:r>
        <w:rPr>
          <w:spacing w:val="-2"/>
          <w:sz w:val="21"/>
          <w:u w:val="none"/>
        </w:rPr>
        <w:t>现对下列问题提出异议，请予以解释：</w:t>
      </w:r>
    </w:p>
    <w:p w14:paraId="423C0E0A">
      <w:pPr>
        <w:pStyle w:val="82"/>
        <w:numPr>
          <w:ilvl w:val="0"/>
          <w:numId w:val="21"/>
        </w:numPr>
        <w:tabs>
          <w:tab w:val="left" w:pos="1386"/>
        </w:tabs>
        <w:spacing w:before="17" w:after="0" w:line="256" w:lineRule="exact"/>
        <w:ind w:left="1386" w:right="0" w:hanging="163"/>
        <w:jc w:val="left"/>
        <w:rPr>
          <w:rFonts w:ascii="Calibri" w:hAnsi="Calibri"/>
          <w:sz w:val="21"/>
        </w:rPr>
      </w:pPr>
      <w:r>
        <w:rPr>
          <w:rFonts w:ascii="Calibri" w:hAnsi="Calibri"/>
          <w:spacing w:val="-5"/>
          <w:sz w:val="21"/>
        </w:rPr>
        <w:t>……</w:t>
      </w:r>
    </w:p>
    <w:p w14:paraId="377E4D55">
      <w:pPr>
        <w:pStyle w:val="82"/>
        <w:numPr>
          <w:ilvl w:val="0"/>
          <w:numId w:val="21"/>
        </w:numPr>
        <w:tabs>
          <w:tab w:val="left" w:pos="1386"/>
        </w:tabs>
        <w:spacing w:before="0" w:after="0" w:line="256" w:lineRule="exact"/>
        <w:ind w:left="1386" w:right="0" w:hanging="163"/>
        <w:jc w:val="left"/>
        <w:rPr>
          <w:rFonts w:ascii="Calibri" w:hAnsi="Calibri"/>
          <w:sz w:val="21"/>
        </w:rPr>
      </w:pPr>
      <w:r>
        <w:rPr>
          <w:rFonts w:ascii="Calibri" w:hAnsi="Calibri"/>
          <w:spacing w:val="-5"/>
          <w:sz w:val="21"/>
        </w:rPr>
        <w:t>……</w:t>
      </w:r>
    </w:p>
    <w:p w14:paraId="7083CCC3">
      <w:pPr>
        <w:tabs>
          <w:tab w:val="left" w:pos="2627"/>
        </w:tabs>
        <w:spacing w:before="255"/>
        <w:ind w:left="0" w:right="876" w:firstLine="0"/>
        <w:jc w:val="right"/>
        <w:rPr>
          <w:rFonts w:ascii="Calibri" w:eastAsia="Calibri"/>
          <w:sz w:val="21"/>
        </w:rPr>
      </w:pPr>
      <w:r>
        <w:rPr>
          <w:sz w:val="21"/>
        </w:rPr>
        <w:t>投标人或利害关系人</w:t>
      </w:r>
      <w:r>
        <w:rPr>
          <w:spacing w:val="-10"/>
          <w:sz w:val="21"/>
        </w:rPr>
        <w:t>：</w:t>
      </w:r>
      <w:r>
        <w:rPr>
          <w:rFonts w:ascii="Times New Roman" w:eastAsia="Times New Roman"/>
          <w:sz w:val="21"/>
          <w:u w:val="single"/>
        </w:rPr>
        <w:tab/>
      </w:r>
      <w:r>
        <w:rPr>
          <w:rFonts w:ascii="Calibri" w:eastAsia="Calibri"/>
          <w:spacing w:val="-2"/>
          <w:sz w:val="21"/>
          <w:u w:val="none"/>
        </w:rPr>
        <w:t>(</w:t>
      </w:r>
      <w:r>
        <w:rPr>
          <w:spacing w:val="-2"/>
          <w:sz w:val="21"/>
          <w:u w:val="none"/>
        </w:rPr>
        <w:t>盖单位章</w:t>
      </w:r>
      <w:r>
        <w:rPr>
          <w:rFonts w:ascii="Calibri" w:eastAsia="Calibri"/>
          <w:spacing w:val="-10"/>
          <w:sz w:val="21"/>
          <w:u w:val="none"/>
        </w:rPr>
        <w:t>)</w:t>
      </w:r>
    </w:p>
    <w:p w14:paraId="4DD5CFFF">
      <w:pPr>
        <w:tabs>
          <w:tab w:val="left" w:pos="1786"/>
        </w:tabs>
        <w:spacing w:before="132"/>
        <w:ind w:left="0" w:right="876" w:firstLine="0"/>
        <w:jc w:val="right"/>
        <w:rPr>
          <w:rFonts w:ascii="Calibri" w:eastAsia="Calibri"/>
          <w:sz w:val="21"/>
        </w:rPr>
      </w:pPr>
      <w:r>
        <w:rPr>
          <w:sz w:val="21"/>
        </w:rPr>
        <w:t>法定代表人</w:t>
      </w:r>
      <w:r>
        <w:rPr>
          <w:spacing w:val="-10"/>
          <w:sz w:val="21"/>
        </w:rPr>
        <w:t>：</w:t>
      </w:r>
      <w:r>
        <w:rPr>
          <w:rFonts w:ascii="Calibri" w:eastAsia="Calibri"/>
          <w:sz w:val="21"/>
          <w:u w:val="single"/>
        </w:rPr>
        <w:tab/>
      </w:r>
      <w:r>
        <w:rPr>
          <w:rFonts w:ascii="Calibri" w:eastAsia="Calibri"/>
          <w:spacing w:val="-2"/>
          <w:sz w:val="21"/>
          <w:u w:val="none"/>
        </w:rPr>
        <w:t>(</w:t>
      </w:r>
      <w:r>
        <w:rPr>
          <w:spacing w:val="-2"/>
          <w:sz w:val="21"/>
          <w:u w:val="none"/>
        </w:rPr>
        <w:t>签字</w:t>
      </w:r>
      <w:r>
        <w:rPr>
          <w:rFonts w:ascii="Calibri" w:eastAsia="Calibri"/>
          <w:spacing w:val="-10"/>
          <w:sz w:val="21"/>
          <w:u w:val="none"/>
        </w:rPr>
        <w:t>)</w:t>
      </w:r>
    </w:p>
    <w:p w14:paraId="30638756">
      <w:pPr>
        <w:pStyle w:val="10"/>
        <w:rPr>
          <w:rFonts w:ascii="Calibri"/>
          <w:sz w:val="21"/>
        </w:rPr>
      </w:pPr>
    </w:p>
    <w:p w14:paraId="09924C30">
      <w:pPr>
        <w:pStyle w:val="10"/>
        <w:spacing w:before="10"/>
        <w:rPr>
          <w:rFonts w:ascii="Calibri"/>
          <w:sz w:val="21"/>
        </w:rPr>
      </w:pPr>
    </w:p>
    <w:p w14:paraId="761E5CA3">
      <w:pPr>
        <w:tabs>
          <w:tab w:val="left" w:pos="420"/>
          <w:tab w:val="left" w:pos="1051"/>
          <w:tab w:val="left" w:pos="1682"/>
        </w:tabs>
        <w:spacing w:before="0"/>
        <w:ind w:left="0" w:right="880" w:firstLine="0"/>
        <w:jc w:val="righ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58DBAC95">
      <w:pPr>
        <w:pStyle w:val="10"/>
        <w:rPr>
          <w:sz w:val="21"/>
        </w:rPr>
      </w:pPr>
    </w:p>
    <w:p w14:paraId="463BA152">
      <w:pPr>
        <w:pStyle w:val="10"/>
        <w:rPr>
          <w:sz w:val="21"/>
        </w:rPr>
      </w:pPr>
    </w:p>
    <w:p w14:paraId="563D54F4">
      <w:pPr>
        <w:pStyle w:val="10"/>
        <w:rPr>
          <w:sz w:val="21"/>
        </w:rPr>
      </w:pPr>
    </w:p>
    <w:p w14:paraId="729356E6">
      <w:pPr>
        <w:pStyle w:val="10"/>
        <w:rPr>
          <w:sz w:val="21"/>
        </w:rPr>
      </w:pPr>
    </w:p>
    <w:p w14:paraId="196B90A6">
      <w:pPr>
        <w:pStyle w:val="10"/>
        <w:rPr>
          <w:sz w:val="21"/>
        </w:rPr>
      </w:pPr>
    </w:p>
    <w:p w14:paraId="49B45EF6">
      <w:pPr>
        <w:pStyle w:val="10"/>
        <w:rPr>
          <w:sz w:val="21"/>
        </w:rPr>
      </w:pPr>
    </w:p>
    <w:p w14:paraId="6501719B">
      <w:pPr>
        <w:pStyle w:val="10"/>
        <w:spacing w:before="25"/>
        <w:rPr>
          <w:sz w:val="21"/>
        </w:rPr>
      </w:pPr>
    </w:p>
    <w:p w14:paraId="07BC283D">
      <w:pPr>
        <w:spacing w:before="0" w:line="237" w:lineRule="auto"/>
        <w:ind w:left="802" w:right="769" w:firstLine="420"/>
        <w:jc w:val="left"/>
        <w:rPr>
          <w:sz w:val="21"/>
        </w:rPr>
      </w:pPr>
      <w:r>
        <w:rPr>
          <w:spacing w:val="-17"/>
          <w:sz w:val="21"/>
        </w:rPr>
        <w:t>备注：投标人或利害关系人对招标文件的内容或对评标结果有异议，要求招标人解释的，</w:t>
      </w:r>
      <w:r>
        <w:rPr>
          <w:spacing w:val="-2"/>
          <w:sz w:val="21"/>
        </w:rPr>
        <w:t>适用本格式。</w:t>
      </w:r>
    </w:p>
    <w:p w14:paraId="6A007DC5">
      <w:pPr>
        <w:spacing w:after="0" w:line="237" w:lineRule="auto"/>
        <w:jc w:val="left"/>
        <w:rPr>
          <w:sz w:val="21"/>
        </w:rPr>
        <w:sectPr>
          <w:pgSz w:w="11910" w:h="16850"/>
          <w:pgMar w:top="1560" w:right="920" w:bottom="1060" w:left="1000" w:header="0" w:footer="866" w:gutter="0"/>
          <w:cols w:space="720" w:num="1"/>
        </w:sectPr>
      </w:pPr>
    </w:p>
    <w:p w14:paraId="6CC8EE09">
      <w:pPr>
        <w:pStyle w:val="10"/>
        <w:spacing w:before="37"/>
        <w:ind w:left="1087"/>
      </w:pPr>
      <w:bookmarkStart w:id="248" w:name="附表十一：异议答复函"/>
      <w:bookmarkEnd w:id="248"/>
      <w:r>
        <w:rPr>
          <w:spacing w:val="-1"/>
        </w:rPr>
        <w:t>附表十一：异议答复函</w:t>
      </w:r>
    </w:p>
    <w:p w14:paraId="2E39E8E8">
      <w:pPr>
        <w:pStyle w:val="10"/>
        <w:spacing w:before="3"/>
        <w:rPr>
          <w:sz w:val="28"/>
        </w:rPr>
      </w:pPr>
    </w:p>
    <w:p w14:paraId="17696ED5">
      <w:pPr>
        <w:spacing w:before="0"/>
        <w:ind w:left="0" w:right="78" w:firstLine="0"/>
        <w:jc w:val="center"/>
        <w:rPr>
          <w:sz w:val="28"/>
        </w:rPr>
      </w:pPr>
      <w:r>
        <w:rPr>
          <w:spacing w:val="3"/>
          <w:sz w:val="28"/>
        </w:rPr>
        <w:t>异议答复函</w:t>
      </w:r>
    </w:p>
    <w:p w14:paraId="7FD20F2E">
      <w:pPr>
        <w:pStyle w:val="10"/>
        <w:rPr>
          <w:sz w:val="21"/>
        </w:rPr>
      </w:pPr>
    </w:p>
    <w:p w14:paraId="7C8C7740">
      <w:pPr>
        <w:pStyle w:val="10"/>
        <w:spacing w:before="93"/>
        <w:rPr>
          <w:sz w:val="21"/>
        </w:rPr>
      </w:pPr>
    </w:p>
    <w:p w14:paraId="388848D8">
      <w:pPr>
        <w:tabs>
          <w:tab w:val="left" w:pos="7788"/>
        </w:tabs>
        <w:spacing w:before="0"/>
        <w:ind w:left="6269" w:right="0" w:firstLine="0"/>
        <w:jc w:val="lef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13192E19">
      <w:pPr>
        <w:tabs>
          <w:tab w:val="left" w:pos="1748"/>
        </w:tabs>
        <w:spacing w:before="132"/>
        <w:ind w:left="802" w:right="0" w:firstLine="0"/>
        <w:jc w:val="left"/>
        <w:rPr>
          <w:sz w:val="21"/>
        </w:rPr>
      </w:pPr>
      <w:r>
        <w:rPr>
          <w:rFonts w:ascii="Calibri" w:eastAsia="Calibri"/>
          <w:sz w:val="21"/>
          <w:u w:val="single"/>
        </w:rPr>
        <w:tab/>
      </w:r>
      <w:r>
        <w:rPr>
          <w:rFonts w:ascii="Calibri" w:eastAsia="Calibri"/>
          <w:spacing w:val="-2"/>
          <w:sz w:val="21"/>
          <w:u w:val="none"/>
        </w:rPr>
        <w:t>(</w:t>
      </w:r>
      <w:r>
        <w:rPr>
          <w:spacing w:val="-2"/>
          <w:sz w:val="21"/>
          <w:u w:val="none"/>
        </w:rPr>
        <w:t>投标人或利害关系人名称</w:t>
      </w:r>
      <w:r>
        <w:rPr>
          <w:rFonts w:ascii="Calibri" w:eastAsia="Calibri"/>
          <w:spacing w:val="-5"/>
          <w:sz w:val="21"/>
          <w:u w:val="none"/>
        </w:rPr>
        <w:t>)</w:t>
      </w:r>
      <w:r>
        <w:rPr>
          <w:spacing w:val="-5"/>
          <w:sz w:val="21"/>
          <w:u w:val="none"/>
        </w:rPr>
        <w:t>：</w:t>
      </w:r>
    </w:p>
    <w:p w14:paraId="6478D2B6">
      <w:pPr>
        <w:tabs>
          <w:tab w:val="left" w:pos="3024"/>
          <w:tab w:val="left" w:pos="4316"/>
          <w:tab w:val="left" w:pos="6344"/>
        </w:tabs>
        <w:spacing w:before="133" w:line="369" w:lineRule="auto"/>
        <w:ind w:left="802" w:right="879" w:firstLine="420"/>
        <w:jc w:val="left"/>
        <w:rPr>
          <w:sz w:val="21"/>
        </w:rPr>
      </w:pPr>
      <w:r>
        <w:rPr>
          <w:spacing w:val="-2"/>
          <w:sz w:val="21"/>
        </w:rPr>
        <w:t>你方提出的有关</w:t>
      </w:r>
      <w:r>
        <w:rPr>
          <w:rFonts w:ascii="Calibri" w:eastAsia="Calibri"/>
          <w:sz w:val="21"/>
          <w:u w:val="single"/>
        </w:rPr>
        <w:tab/>
      </w:r>
      <w:r>
        <w:rPr>
          <w:rFonts w:ascii="Calibri" w:eastAsia="Calibri"/>
          <w:sz w:val="21"/>
          <w:u w:val="none"/>
        </w:rPr>
        <w:t>(</w:t>
      </w:r>
      <w:r>
        <w:rPr>
          <w:sz w:val="21"/>
          <w:u w:val="none"/>
        </w:rPr>
        <w:t>项目名</w:t>
      </w:r>
      <w:r>
        <w:rPr>
          <w:spacing w:val="5"/>
          <w:sz w:val="21"/>
          <w:u w:val="none"/>
        </w:rPr>
        <w:t>称</w:t>
      </w:r>
      <w:r>
        <w:rPr>
          <w:rFonts w:ascii="Calibri" w:eastAsia="Calibri"/>
          <w:sz w:val="21"/>
          <w:u w:val="none"/>
        </w:rPr>
        <w:t>)</w:t>
      </w:r>
      <w:r>
        <w:rPr>
          <w:rFonts w:ascii="Times New Roman" w:eastAsia="Times New Roman"/>
          <w:sz w:val="21"/>
          <w:u w:val="single"/>
        </w:rPr>
        <w:tab/>
      </w:r>
      <w:r>
        <w:rPr>
          <w:sz w:val="21"/>
          <w:u w:val="none"/>
        </w:rPr>
        <w:t>（标</w:t>
      </w:r>
      <w:r>
        <w:rPr>
          <w:spacing w:val="5"/>
          <w:sz w:val="21"/>
          <w:u w:val="none"/>
        </w:rPr>
        <w:t>段</w:t>
      </w:r>
      <w:r>
        <w:rPr>
          <w:sz w:val="21"/>
          <w:u w:val="none"/>
        </w:rPr>
        <w:t>名称）</w:t>
      </w:r>
      <w:r>
        <w:rPr>
          <w:rFonts w:ascii="Times New Roman" w:eastAsia="Times New Roman"/>
          <w:sz w:val="21"/>
          <w:u w:val="single"/>
        </w:rPr>
        <w:tab/>
      </w:r>
      <w:r>
        <w:rPr>
          <w:sz w:val="21"/>
          <w:u w:val="none"/>
        </w:rPr>
        <w:t>（服务</w:t>
      </w:r>
      <w:r>
        <w:rPr>
          <w:spacing w:val="9"/>
          <w:sz w:val="21"/>
          <w:u w:val="none"/>
        </w:rPr>
        <w:t>名</w:t>
      </w:r>
      <w:r>
        <w:rPr>
          <w:sz w:val="21"/>
          <w:u w:val="none"/>
        </w:rPr>
        <w:t>称）招标文件</w:t>
      </w:r>
      <w:r>
        <w:rPr>
          <w:spacing w:val="9"/>
          <w:sz w:val="21"/>
          <w:u w:val="none"/>
        </w:rPr>
        <w:t>（</w:t>
      </w:r>
      <w:r>
        <w:rPr>
          <w:sz w:val="21"/>
          <w:u w:val="none"/>
        </w:rPr>
        <w:t>或评</w:t>
      </w:r>
      <w:r>
        <w:rPr>
          <w:spacing w:val="-2"/>
          <w:sz w:val="21"/>
          <w:u w:val="none"/>
        </w:rPr>
        <w:t>标结果公示）的异议已收悉，现答复如下：</w:t>
      </w:r>
    </w:p>
    <w:p w14:paraId="78741334">
      <w:pPr>
        <w:pStyle w:val="82"/>
        <w:numPr>
          <w:ilvl w:val="0"/>
          <w:numId w:val="22"/>
        </w:numPr>
        <w:tabs>
          <w:tab w:val="left" w:pos="1386"/>
        </w:tabs>
        <w:spacing w:before="0" w:after="0" w:line="225" w:lineRule="exact"/>
        <w:ind w:left="1386" w:right="0" w:hanging="163"/>
        <w:jc w:val="left"/>
        <w:rPr>
          <w:rFonts w:ascii="Calibri" w:hAnsi="Calibri"/>
          <w:sz w:val="21"/>
        </w:rPr>
      </w:pPr>
      <w:r>
        <w:rPr>
          <w:rFonts w:ascii="Calibri" w:hAnsi="Calibri"/>
          <w:spacing w:val="-5"/>
          <w:sz w:val="21"/>
        </w:rPr>
        <w:t>……</w:t>
      </w:r>
    </w:p>
    <w:p w14:paraId="7CAB6ACA">
      <w:pPr>
        <w:pStyle w:val="82"/>
        <w:numPr>
          <w:ilvl w:val="0"/>
          <w:numId w:val="22"/>
        </w:numPr>
        <w:tabs>
          <w:tab w:val="left" w:pos="1386"/>
        </w:tabs>
        <w:spacing w:before="134" w:after="0" w:line="240" w:lineRule="auto"/>
        <w:ind w:left="1386" w:right="0" w:hanging="163"/>
        <w:jc w:val="left"/>
        <w:rPr>
          <w:rFonts w:ascii="Calibri" w:hAnsi="Calibri"/>
          <w:sz w:val="21"/>
        </w:rPr>
      </w:pPr>
      <w:r>
        <w:rPr>
          <w:rFonts w:ascii="Calibri" w:hAnsi="Calibri"/>
          <w:spacing w:val="-5"/>
          <w:sz w:val="21"/>
        </w:rPr>
        <w:t>……</w:t>
      </w:r>
    </w:p>
    <w:p w14:paraId="01CB2182">
      <w:pPr>
        <w:spacing w:before="119"/>
        <w:ind w:left="1223" w:right="0" w:firstLine="0"/>
        <w:jc w:val="left"/>
        <w:rPr>
          <w:rFonts w:ascii="Calibri" w:hAnsi="Calibri"/>
          <w:sz w:val="21"/>
        </w:rPr>
      </w:pPr>
      <w:r>
        <w:rPr>
          <w:rFonts w:ascii="Calibri" w:hAnsi="Calibri"/>
          <w:spacing w:val="-5"/>
          <w:sz w:val="21"/>
        </w:rPr>
        <w:t>……</w:t>
      </w:r>
    </w:p>
    <w:p w14:paraId="467DEDF2">
      <w:pPr>
        <w:pStyle w:val="10"/>
        <w:rPr>
          <w:rFonts w:ascii="Calibri"/>
          <w:sz w:val="21"/>
        </w:rPr>
      </w:pPr>
    </w:p>
    <w:p w14:paraId="59B03B36">
      <w:pPr>
        <w:pStyle w:val="10"/>
        <w:rPr>
          <w:rFonts w:ascii="Calibri"/>
          <w:sz w:val="21"/>
        </w:rPr>
      </w:pPr>
    </w:p>
    <w:p w14:paraId="2BF743F3">
      <w:pPr>
        <w:pStyle w:val="10"/>
        <w:rPr>
          <w:rFonts w:ascii="Calibri"/>
          <w:sz w:val="21"/>
        </w:rPr>
      </w:pPr>
    </w:p>
    <w:p w14:paraId="7472841A">
      <w:pPr>
        <w:pStyle w:val="10"/>
        <w:rPr>
          <w:rFonts w:ascii="Calibri"/>
          <w:sz w:val="21"/>
        </w:rPr>
      </w:pPr>
    </w:p>
    <w:p w14:paraId="5E6888FC">
      <w:pPr>
        <w:pStyle w:val="10"/>
        <w:spacing w:before="24"/>
        <w:rPr>
          <w:rFonts w:ascii="Calibri"/>
          <w:sz w:val="21"/>
        </w:rPr>
      </w:pPr>
    </w:p>
    <w:p w14:paraId="52B08E58">
      <w:pPr>
        <w:tabs>
          <w:tab w:val="left" w:pos="7788"/>
        </w:tabs>
        <w:spacing w:before="0"/>
        <w:ind w:left="5638" w:right="0" w:firstLine="0"/>
        <w:jc w:val="left"/>
        <w:rPr>
          <w:sz w:val="21"/>
        </w:rPr>
      </w:pPr>
      <w:r>
        <w:rPr>
          <w:sz w:val="21"/>
        </w:rPr>
        <w:t xml:space="preserve">招标人： </w:t>
      </w:r>
      <w:r>
        <w:rPr>
          <w:rFonts w:ascii="Times New Roman" w:eastAsia="Times New Roman"/>
          <w:sz w:val="21"/>
          <w:u w:val="single"/>
        </w:rPr>
        <w:tab/>
      </w:r>
      <w:r>
        <w:rPr>
          <w:rFonts w:ascii="Times New Roman" w:eastAsia="Times New Roman"/>
          <w:sz w:val="21"/>
          <w:u w:val="none"/>
        </w:rPr>
        <w:t xml:space="preserve"> </w:t>
      </w:r>
      <w:r>
        <w:rPr>
          <w:sz w:val="21"/>
          <w:u w:val="none"/>
        </w:rPr>
        <w:t>（盖单位章）</w:t>
      </w:r>
    </w:p>
    <w:p w14:paraId="48E94FC8">
      <w:pPr>
        <w:pStyle w:val="10"/>
        <w:spacing w:before="249"/>
        <w:rPr>
          <w:sz w:val="21"/>
        </w:rPr>
      </w:pPr>
    </w:p>
    <w:p w14:paraId="42BC37B6">
      <w:pPr>
        <w:tabs>
          <w:tab w:val="left" w:pos="525"/>
          <w:tab w:val="left" w:pos="1261"/>
          <w:tab w:val="left" w:pos="1997"/>
        </w:tabs>
        <w:spacing w:before="1"/>
        <w:ind w:left="0" w:right="880" w:firstLine="0"/>
        <w:jc w:val="righ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720B9E25">
      <w:pPr>
        <w:spacing w:after="0"/>
        <w:jc w:val="right"/>
        <w:rPr>
          <w:sz w:val="21"/>
        </w:rPr>
        <w:sectPr>
          <w:pgSz w:w="11910" w:h="16850"/>
          <w:pgMar w:top="1560" w:right="920" w:bottom="1060" w:left="1000" w:header="0" w:footer="866" w:gutter="0"/>
          <w:cols w:space="720" w:num="1"/>
        </w:sectPr>
      </w:pPr>
    </w:p>
    <w:p w14:paraId="5140DDC9">
      <w:pPr>
        <w:pStyle w:val="10"/>
        <w:spacing w:before="37"/>
        <w:ind w:left="1087"/>
      </w:pPr>
      <w:bookmarkStart w:id="249" w:name="附表十二：投标确认书"/>
      <w:bookmarkEnd w:id="249"/>
      <w:r>
        <w:rPr>
          <w:spacing w:val="-3"/>
        </w:rPr>
        <w:t>附表十二：投标确认书</w:t>
      </w:r>
    </w:p>
    <w:p w14:paraId="205C109A">
      <w:pPr>
        <w:pStyle w:val="10"/>
        <w:spacing w:before="259"/>
        <w:rPr>
          <w:sz w:val="28"/>
        </w:rPr>
      </w:pPr>
    </w:p>
    <w:p w14:paraId="1DD56C93">
      <w:pPr>
        <w:spacing w:before="0"/>
        <w:ind w:left="0" w:right="78" w:firstLine="0"/>
        <w:jc w:val="center"/>
        <w:rPr>
          <w:sz w:val="28"/>
        </w:rPr>
      </w:pPr>
      <w:r>
        <w:rPr>
          <w:spacing w:val="3"/>
          <w:sz w:val="28"/>
        </w:rPr>
        <w:t>投标确认书</w:t>
      </w:r>
    </w:p>
    <w:p w14:paraId="0620D900">
      <w:pPr>
        <w:pStyle w:val="10"/>
        <w:spacing w:before="245"/>
        <w:rPr>
          <w:sz w:val="21"/>
        </w:rPr>
      </w:pPr>
    </w:p>
    <w:p w14:paraId="0829C261">
      <w:pPr>
        <w:tabs>
          <w:tab w:val="left" w:pos="7998"/>
        </w:tabs>
        <w:spacing w:before="0"/>
        <w:ind w:left="6269" w:right="0" w:firstLine="0"/>
        <w:jc w:val="left"/>
        <w:rPr>
          <w:rFonts w:ascii="Times New Roman" w:eastAsia="Times New Roman"/>
          <w:sz w:val="21"/>
        </w:rPr>
      </w:pPr>
      <w:r>
        <w:rPr>
          <w:sz w:val="21"/>
        </w:rPr>
        <w:t>编号</w:t>
      </w:r>
      <w:r>
        <w:rPr>
          <w:spacing w:val="-10"/>
          <w:sz w:val="21"/>
        </w:rPr>
        <w:t>：</w:t>
      </w:r>
      <w:r>
        <w:rPr>
          <w:rFonts w:ascii="Times New Roman" w:eastAsia="Times New Roman"/>
          <w:sz w:val="21"/>
          <w:u w:val="single"/>
        </w:rPr>
        <w:tab/>
      </w:r>
    </w:p>
    <w:p w14:paraId="6749C0B0">
      <w:pPr>
        <w:tabs>
          <w:tab w:val="left" w:pos="1958"/>
        </w:tabs>
        <w:spacing w:before="237"/>
        <w:ind w:left="802" w:right="0" w:firstLine="0"/>
        <w:jc w:val="left"/>
        <w:rPr>
          <w:sz w:val="21"/>
        </w:rPr>
      </w:pPr>
      <w:r>
        <w:rPr>
          <w:rFonts w:ascii="Calibri" w:eastAsia="Calibri"/>
          <w:sz w:val="21"/>
          <w:u w:val="single"/>
        </w:rPr>
        <w:tab/>
      </w:r>
      <w:r>
        <w:rPr>
          <w:rFonts w:ascii="Calibri" w:eastAsia="Calibri"/>
          <w:spacing w:val="-2"/>
          <w:sz w:val="21"/>
          <w:u w:val="none"/>
        </w:rPr>
        <w:t>(</w:t>
      </w:r>
      <w:r>
        <w:rPr>
          <w:spacing w:val="-2"/>
          <w:sz w:val="21"/>
          <w:u w:val="none"/>
        </w:rPr>
        <w:t>招标人名称</w:t>
      </w:r>
      <w:r>
        <w:rPr>
          <w:rFonts w:ascii="Calibri" w:eastAsia="Calibri"/>
          <w:spacing w:val="-5"/>
          <w:sz w:val="21"/>
          <w:u w:val="none"/>
        </w:rPr>
        <w:t>)</w:t>
      </w:r>
      <w:r>
        <w:rPr>
          <w:spacing w:val="-5"/>
          <w:sz w:val="21"/>
          <w:u w:val="none"/>
        </w:rPr>
        <w:t>：</w:t>
      </w:r>
    </w:p>
    <w:p w14:paraId="42905B36">
      <w:pPr>
        <w:pStyle w:val="10"/>
        <w:spacing w:before="10"/>
        <w:rPr>
          <w:sz w:val="21"/>
        </w:rPr>
      </w:pPr>
    </w:p>
    <w:p w14:paraId="16D42FB5">
      <w:pPr>
        <w:tabs>
          <w:tab w:val="left" w:pos="5264"/>
          <w:tab w:val="left" w:pos="6856"/>
          <w:tab w:val="left" w:pos="8312"/>
        </w:tabs>
        <w:spacing w:before="0"/>
        <w:ind w:left="384" w:right="0" w:firstLine="0"/>
        <w:jc w:val="center"/>
        <w:rPr>
          <w:rFonts w:ascii="Calibri" w:eastAsia="Calibri"/>
          <w:sz w:val="21"/>
        </w:rPr>
      </w:pPr>
      <w:r>
        <w:rPr>
          <w:sz w:val="21"/>
        </w:rPr>
        <w:t>我方已收到你方发送的</w:t>
      </w:r>
      <w:r>
        <w:rPr>
          <w:spacing w:val="15"/>
          <w:sz w:val="21"/>
        </w:rPr>
        <w:t>投</w:t>
      </w:r>
      <w:r>
        <w:rPr>
          <w:sz w:val="21"/>
        </w:rPr>
        <w:t>标邀请书，我</w:t>
      </w:r>
      <w:r>
        <w:rPr>
          <w:spacing w:val="15"/>
          <w:sz w:val="21"/>
        </w:rPr>
        <w:t>方</w:t>
      </w:r>
      <w:r>
        <w:rPr>
          <w:spacing w:val="-10"/>
          <w:sz w:val="21"/>
        </w:rPr>
        <w:t>将</w:t>
      </w:r>
      <w:r>
        <w:rPr>
          <w:rFonts w:ascii="Calibri" w:eastAsia="Calibri"/>
          <w:sz w:val="21"/>
          <w:u w:val="single"/>
        </w:rPr>
        <w:tab/>
      </w:r>
      <w:r>
        <w:rPr>
          <w:rFonts w:ascii="Calibri" w:eastAsia="Calibri"/>
          <w:sz w:val="21"/>
          <w:u w:val="none"/>
        </w:rPr>
        <w:t>(</w:t>
      </w:r>
      <w:r>
        <w:rPr>
          <w:sz w:val="21"/>
          <w:u w:val="none"/>
        </w:rPr>
        <w:t>参</w:t>
      </w:r>
      <w:r>
        <w:rPr>
          <w:spacing w:val="3"/>
          <w:sz w:val="21"/>
          <w:u w:val="none"/>
        </w:rPr>
        <w:t>加</w:t>
      </w:r>
      <w:r>
        <w:rPr>
          <w:rFonts w:ascii="Calibri" w:eastAsia="Calibri"/>
          <w:sz w:val="21"/>
          <w:u w:val="none"/>
        </w:rPr>
        <w:t>/</w:t>
      </w:r>
      <w:r>
        <w:rPr>
          <w:sz w:val="21"/>
          <w:u w:val="none"/>
        </w:rPr>
        <w:t>不参加</w:t>
      </w:r>
      <w:r>
        <w:rPr>
          <w:rFonts w:ascii="Calibri" w:eastAsia="Calibri"/>
          <w:spacing w:val="1"/>
          <w:sz w:val="21"/>
          <w:u w:val="none"/>
        </w:rPr>
        <w:t>)</w:t>
      </w:r>
      <w:r>
        <w:rPr>
          <w:rFonts w:ascii="Calibri" w:eastAsia="Calibri"/>
          <w:sz w:val="21"/>
          <w:u w:val="single"/>
        </w:rPr>
        <w:tab/>
      </w:r>
      <w:r>
        <w:rPr>
          <w:rFonts w:ascii="Calibri" w:eastAsia="Calibri"/>
          <w:sz w:val="21"/>
          <w:u w:val="none"/>
        </w:rPr>
        <w:t>(</w:t>
      </w:r>
      <w:r>
        <w:rPr>
          <w:sz w:val="21"/>
          <w:u w:val="none"/>
        </w:rPr>
        <w:t>项</w:t>
      </w:r>
      <w:r>
        <w:rPr>
          <w:spacing w:val="11"/>
          <w:sz w:val="21"/>
          <w:u w:val="none"/>
        </w:rPr>
        <w:t>目</w:t>
      </w:r>
      <w:r>
        <w:rPr>
          <w:sz w:val="21"/>
          <w:u w:val="none"/>
        </w:rPr>
        <w:t>名称</w:t>
      </w:r>
      <w:r>
        <w:rPr>
          <w:rFonts w:ascii="Calibri" w:eastAsia="Calibri"/>
          <w:spacing w:val="-10"/>
          <w:sz w:val="21"/>
          <w:u w:val="none"/>
        </w:rPr>
        <w:t>)</w:t>
      </w:r>
      <w:r>
        <w:rPr>
          <w:rFonts w:ascii="Calibri" w:eastAsia="Calibri"/>
          <w:sz w:val="21"/>
          <w:u w:val="single"/>
        </w:rPr>
        <w:tab/>
      </w:r>
    </w:p>
    <w:p w14:paraId="28F94EEF">
      <w:pPr>
        <w:pStyle w:val="10"/>
        <w:spacing w:before="26"/>
        <w:rPr>
          <w:rFonts w:ascii="Calibri"/>
          <w:sz w:val="21"/>
        </w:rPr>
      </w:pPr>
    </w:p>
    <w:p w14:paraId="05FA5643">
      <w:pPr>
        <w:tabs>
          <w:tab w:val="left" w:pos="2694"/>
        </w:tabs>
        <w:spacing w:before="0"/>
        <w:ind w:left="696" w:right="0" w:firstLine="0"/>
        <w:jc w:val="left"/>
        <w:rPr>
          <w:sz w:val="21"/>
        </w:rPr>
      </w:pPr>
      <w:r>
        <w:rPr>
          <w:sz w:val="21"/>
        </w:rPr>
        <w:t>（标段名称</w:t>
      </w:r>
      <w:r>
        <w:rPr>
          <w:spacing w:val="-10"/>
          <w:sz w:val="21"/>
        </w:rPr>
        <w:t>）</w:t>
      </w:r>
      <w:r>
        <w:rPr>
          <w:rFonts w:ascii="Times New Roman" w:eastAsia="Times New Roman"/>
          <w:sz w:val="21"/>
          <w:u w:val="single"/>
        </w:rPr>
        <w:tab/>
      </w:r>
      <w:r>
        <w:rPr>
          <w:sz w:val="21"/>
          <w:u w:val="none"/>
        </w:rPr>
        <w:t>（服务名称）投标</w:t>
      </w:r>
      <w:r>
        <w:rPr>
          <w:spacing w:val="-10"/>
          <w:sz w:val="21"/>
          <w:u w:val="none"/>
        </w:rPr>
        <w:t>。</w:t>
      </w:r>
    </w:p>
    <w:p w14:paraId="66340F5A">
      <w:pPr>
        <w:pStyle w:val="10"/>
        <w:spacing w:before="24"/>
        <w:rPr>
          <w:sz w:val="21"/>
        </w:rPr>
      </w:pPr>
    </w:p>
    <w:p w14:paraId="6D6C420B">
      <w:pPr>
        <w:spacing w:before="0"/>
        <w:ind w:left="1223" w:right="0" w:firstLine="0"/>
        <w:jc w:val="left"/>
        <w:rPr>
          <w:sz w:val="21"/>
        </w:rPr>
      </w:pPr>
      <w:r>
        <w:rPr>
          <w:spacing w:val="-2"/>
          <w:sz w:val="21"/>
        </w:rPr>
        <w:t>特此确认。</w:t>
      </w:r>
    </w:p>
    <w:p w14:paraId="45C46EBA">
      <w:pPr>
        <w:pStyle w:val="10"/>
        <w:rPr>
          <w:sz w:val="21"/>
        </w:rPr>
      </w:pPr>
    </w:p>
    <w:p w14:paraId="7C7E8097">
      <w:pPr>
        <w:pStyle w:val="10"/>
        <w:rPr>
          <w:sz w:val="21"/>
        </w:rPr>
      </w:pPr>
    </w:p>
    <w:p w14:paraId="4DA19266">
      <w:pPr>
        <w:pStyle w:val="10"/>
        <w:rPr>
          <w:sz w:val="21"/>
        </w:rPr>
      </w:pPr>
    </w:p>
    <w:p w14:paraId="30D3BF83">
      <w:pPr>
        <w:pStyle w:val="10"/>
        <w:rPr>
          <w:sz w:val="21"/>
        </w:rPr>
      </w:pPr>
    </w:p>
    <w:p w14:paraId="75A1DB90">
      <w:pPr>
        <w:pStyle w:val="10"/>
        <w:spacing w:before="44"/>
        <w:rPr>
          <w:sz w:val="21"/>
        </w:rPr>
      </w:pPr>
    </w:p>
    <w:p w14:paraId="6D10E9B5">
      <w:pPr>
        <w:tabs>
          <w:tab w:val="left" w:pos="8088"/>
        </w:tabs>
        <w:spacing w:before="0"/>
        <w:ind w:left="6254" w:right="0" w:firstLine="0"/>
        <w:jc w:val="left"/>
        <w:rPr>
          <w:rFonts w:ascii="Calibri" w:eastAsia="Calibri"/>
          <w:sz w:val="21"/>
        </w:rPr>
      </w:pPr>
      <w:r>
        <w:rPr>
          <w:sz w:val="21"/>
        </w:rPr>
        <w:t>潜在投标人</w:t>
      </w:r>
      <w:r>
        <w:rPr>
          <w:spacing w:val="-10"/>
          <w:sz w:val="21"/>
        </w:rPr>
        <w:t>：</w:t>
      </w:r>
      <w:r>
        <w:rPr>
          <w:rFonts w:ascii="Times New Roman" w:eastAsia="Times New Roman"/>
          <w:sz w:val="21"/>
          <w:u w:val="single"/>
        </w:rPr>
        <w:tab/>
      </w:r>
      <w:r>
        <w:rPr>
          <w:rFonts w:ascii="Times New Roman" w:eastAsia="Times New Roman"/>
          <w:sz w:val="21"/>
          <w:u w:val="none"/>
        </w:rPr>
        <w:t xml:space="preserve"> </w:t>
      </w:r>
      <w:r>
        <w:rPr>
          <w:rFonts w:ascii="Calibri" w:eastAsia="Calibri"/>
          <w:spacing w:val="-2"/>
          <w:sz w:val="21"/>
          <w:u w:val="none"/>
        </w:rPr>
        <w:t>(</w:t>
      </w:r>
      <w:r>
        <w:rPr>
          <w:spacing w:val="-2"/>
          <w:sz w:val="21"/>
          <w:u w:val="none"/>
        </w:rPr>
        <w:t>盖单位章</w:t>
      </w:r>
      <w:r>
        <w:rPr>
          <w:rFonts w:ascii="Calibri" w:eastAsia="Calibri"/>
          <w:spacing w:val="-2"/>
          <w:sz w:val="21"/>
          <w:u w:val="none"/>
        </w:rPr>
        <w:t>)</w:t>
      </w:r>
    </w:p>
    <w:p w14:paraId="22F916D0">
      <w:pPr>
        <w:pStyle w:val="10"/>
        <w:spacing w:before="26"/>
        <w:rPr>
          <w:rFonts w:ascii="Calibri"/>
          <w:sz w:val="21"/>
        </w:rPr>
      </w:pPr>
    </w:p>
    <w:p w14:paraId="62C56588">
      <w:pPr>
        <w:tabs>
          <w:tab w:val="left" w:pos="1681"/>
        </w:tabs>
        <w:spacing w:before="0"/>
        <w:ind w:left="0" w:right="876" w:firstLine="0"/>
        <w:jc w:val="right"/>
        <w:rPr>
          <w:rFonts w:ascii="Calibri" w:eastAsia="Calibri"/>
          <w:sz w:val="21"/>
        </w:rPr>
      </w:pPr>
      <w:r>
        <w:rPr>
          <w:sz w:val="21"/>
        </w:rPr>
        <w:t>法定代表人</w:t>
      </w:r>
      <w:r>
        <w:rPr>
          <w:spacing w:val="-10"/>
          <w:sz w:val="21"/>
        </w:rPr>
        <w:t>：</w:t>
      </w:r>
      <w:r>
        <w:rPr>
          <w:rFonts w:ascii="Calibri" w:eastAsia="Calibri"/>
          <w:sz w:val="21"/>
          <w:u w:val="single"/>
        </w:rPr>
        <w:tab/>
      </w:r>
      <w:r>
        <w:rPr>
          <w:rFonts w:ascii="Calibri" w:eastAsia="Calibri"/>
          <w:spacing w:val="-2"/>
          <w:sz w:val="21"/>
          <w:u w:val="none"/>
        </w:rPr>
        <w:t>(</w:t>
      </w:r>
      <w:r>
        <w:rPr>
          <w:spacing w:val="-2"/>
          <w:sz w:val="21"/>
          <w:u w:val="none"/>
        </w:rPr>
        <w:t>签字</w:t>
      </w:r>
      <w:r>
        <w:rPr>
          <w:rFonts w:ascii="Calibri" w:eastAsia="Calibri"/>
          <w:spacing w:val="-10"/>
          <w:sz w:val="21"/>
          <w:u w:val="none"/>
        </w:rPr>
        <w:t>)</w:t>
      </w:r>
    </w:p>
    <w:p w14:paraId="1BA9FB12">
      <w:pPr>
        <w:pStyle w:val="10"/>
        <w:spacing w:before="26"/>
        <w:rPr>
          <w:rFonts w:ascii="Calibri"/>
          <w:sz w:val="21"/>
        </w:rPr>
      </w:pPr>
    </w:p>
    <w:p w14:paraId="1DFBD6E3">
      <w:pPr>
        <w:tabs>
          <w:tab w:val="left" w:pos="420"/>
          <w:tab w:val="left" w:pos="1051"/>
          <w:tab w:val="left" w:pos="1682"/>
        </w:tabs>
        <w:spacing w:before="0"/>
        <w:ind w:left="0" w:right="880" w:firstLine="0"/>
        <w:jc w:val="righ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59561311">
      <w:pPr>
        <w:pStyle w:val="10"/>
        <w:rPr>
          <w:sz w:val="21"/>
        </w:rPr>
      </w:pPr>
    </w:p>
    <w:p w14:paraId="5255ADA7">
      <w:pPr>
        <w:pStyle w:val="10"/>
        <w:spacing w:before="22"/>
        <w:rPr>
          <w:sz w:val="21"/>
        </w:rPr>
      </w:pPr>
    </w:p>
    <w:p w14:paraId="1F271E49">
      <w:pPr>
        <w:spacing w:before="0"/>
        <w:ind w:left="1223" w:right="0" w:firstLine="0"/>
        <w:jc w:val="left"/>
        <w:rPr>
          <w:sz w:val="21"/>
        </w:rPr>
      </w:pPr>
      <w:r>
        <w:rPr>
          <w:spacing w:val="-14"/>
          <w:sz w:val="21"/>
        </w:rPr>
        <w:t>备注：潜在投标人收到投标邀请书并向招标人确认是否继续参加投标时，适用于本格式。</w:t>
      </w:r>
    </w:p>
    <w:p w14:paraId="0F269D56">
      <w:pPr>
        <w:spacing w:after="0"/>
        <w:jc w:val="left"/>
        <w:rPr>
          <w:sz w:val="21"/>
        </w:rPr>
        <w:sectPr>
          <w:pgSz w:w="11910" w:h="16850"/>
          <w:pgMar w:top="1560" w:right="920" w:bottom="1060" w:left="1000" w:header="0" w:footer="866" w:gutter="0"/>
          <w:cols w:space="720" w:num="1"/>
        </w:sectPr>
      </w:pPr>
    </w:p>
    <w:p w14:paraId="2D4C5710">
      <w:pPr>
        <w:pStyle w:val="10"/>
        <w:spacing w:before="37"/>
        <w:ind w:left="1087"/>
      </w:pPr>
      <w:bookmarkStart w:id="250" w:name="附表十三：授权委托书"/>
      <w:bookmarkEnd w:id="250"/>
      <w:r>
        <w:rPr>
          <w:spacing w:val="-1"/>
        </w:rPr>
        <w:t>附表十三：授权委托书</w:t>
      </w:r>
    </w:p>
    <w:p w14:paraId="2D5FD84C">
      <w:pPr>
        <w:pStyle w:val="10"/>
        <w:rPr>
          <w:sz w:val="28"/>
        </w:rPr>
      </w:pPr>
    </w:p>
    <w:p w14:paraId="45317A99">
      <w:pPr>
        <w:pStyle w:val="10"/>
        <w:spacing w:before="90"/>
        <w:rPr>
          <w:sz w:val="28"/>
        </w:rPr>
      </w:pPr>
    </w:p>
    <w:p w14:paraId="6AB4A692">
      <w:pPr>
        <w:spacing w:before="0"/>
        <w:ind w:left="0" w:right="78" w:firstLine="0"/>
        <w:jc w:val="center"/>
        <w:rPr>
          <w:sz w:val="28"/>
        </w:rPr>
      </w:pPr>
      <w:r>
        <w:rPr>
          <w:spacing w:val="3"/>
          <w:sz w:val="28"/>
        </w:rPr>
        <w:t>授权委托书</w:t>
      </w:r>
    </w:p>
    <w:p w14:paraId="2DA0D533">
      <w:pPr>
        <w:pStyle w:val="10"/>
        <w:spacing w:before="79"/>
        <w:rPr>
          <w:sz w:val="28"/>
        </w:rPr>
      </w:pPr>
    </w:p>
    <w:p w14:paraId="6AD5AB6C">
      <w:pPr>
        <w:tabs>
          <w:tab w:val="left" w:pos="1392"/>
          <w:tab w:val="left" w:pos="3390"/>
          <w:tab w:val="left" w:pos="7595"/>
        </w:tabs>
        <w:spacing w:before="0"/>
        <w:ind w:left="447" w:right="0" w:firstLine="0"/>
        <w:jc w:val="center"/>
        <w:rPr>
          <w:sz w:val="21"/>
        </w:rPr>
      </w:pPr>
      <w:r>
        <w:rPr>
          <w:sz w:val="21"/>
        </w:rPr>
        <w:t>本</w:t>
      </w:r>
      <w:r>
        <w:rPr>
          <w:spacing w:val="-10"/>
          <w:sz w:val="21"/>
        </w:rPr>
        <w:t>人</w:t>
      </w:r>
      <w:r>
        <w:rPr>
          <w:rFonts w:ascii="Times New Roman" w:eastAsia="Times New Roman"/>
          <w:sz w:val="21"/>
          <w:u w:val="single"/>
        </w:rPr>
        <w:tab/>
      </w:r>
      <w:r>
        <w:rPr>
          <w:sz w:val="21"/>
          <w:u w:val="none"/>
        </w:rPr>
        <w:t>（姓名）</w:t>
      </w:r>
      <w:r>
        <w:rPr>
          <w:spacing w:val="-10"/>
          <w:sz w:val="21"/>
          <w:u w:val="none"/>
        </w:rPr>
        <w:t>系</w:t>
      </w:r>
      <w:r>
        <w:rPr>
          <w:rFonts w:ascii="Times New Roman" w:eastAsia="Times New Roman"/>
          <w:sz w:val="21"/>
          <w:u w:val="single"/>
        </w:rPr>
        <w:tab/>
      </w:r>
      <w:r>
        <w:rPr>
          <w:sz w:val="21"/>
          <w:u w:val="none"/>
        </w:rPr>
        <w:t>（投标人名称）的法定代表人，现委</w:t>
      </w:r>
      <w:r>
        <w:rPr>
          <w:spacing w:val="-10"/>
          <w:sz w:val="21"/>
          <w:u w:val="none"/>
        </w:rPr>
        <w:t>托</w:t>
      </w:r>
      <w:r>
        <w:rPr>
          <w:rFonts w:ascii="Times New Roman" w:eastAsia="Times New Roman"/>
          <w:sz w:val="21"/>
          <w:u w:val="single"/>
        </w:rPr>
        <w:tab/>
      </w:r>
      <w:r>
        <w:rPr>
          <w:sz w:val="21"/>
          <w:u w:val="none"/>
        </w:rPr>
        <w:t>（姓名</w:t>
      </w:r>
      <w:r>
        <w:rPr>
          <w:spacing w:val="-10"/>
          <w:sz w:val="21"/>
          <w:u w:val="none"/>
        </w:rPr>
        <w:t>）</w:t>
      </w:r>
    </w:p>
    <w:p w14:paraId="0C3F2DED">
      <w:pPr>
        <w:spacing w:before="222"/>
        <w:ind w:left="802" w:right="0" w:firstLine="0"/>
        <w:jc w:val="left"/>
        <w:rPr>
          <w:sz w:val="21"/>
        </w:rPr>
      </w:pPr>
      <w:r>
        <w:rPr>
          <w:spacing w:val="-4"/>
          <w:sz w:val="21"/>
        </w:rPr>
        <w:t>为我方代理人。代理人根据授权，以我方名义签署、澄清、说明、补正、递交、撤回、修改</w:t>
      </w:r>
    </w:p>
    <w:p w14:paraId="6D08E966">
      <w:pPr>
        <w:tabs>
          <w:tab w:val="left" w:pos="1748"/>
          <w:tab w:val="left" w:pos="3926"/>
          <w:tab w:val="left" w:pos="5998"/>
        </w:tabs>
        <w:spacing w:before="223"/>
        <w:ind w:left="802" w:right="0" w:firstLine="0"/>
        <w:jc w:val="left"/>
        <w:rPr>
          <w:sz w:val="21"/>
        </w:rPr>
      </w:pPr>
      <w:r>
        <w:rPr>
          <w:rFonts w:ascii="Times New Roman" w:eastAsia="Times New Roman"/>
          <w:sz w:val="21"/>
          <w:u w:val="single"/>
        </w:rPr>
        <w:tab/>
      </w:r>
      <w:r>
        <w:rPr>
          <w:sz w:val="21"/>
          <w:u w:val="none"/>
        </w:rPr>
        <w:t>（项目名称</w:t>
      </w:r>
      <w:r>
        <w:rPr>
          <w:spacing w:val="-10"/>
          <w:sz w:val="21"/>
          <w:u w:val="none"/>
        </w:rPr>
        <w:t>）</w:t>
      </w:r>
      <w:r>
        <w:rPr>
          <w:rFonts w:ascii="Times New Roman" w:eastAsia="Times New Roman"/>
          <w:sz w:val="21"/>
          <w:u w:val="single"/>
        </w:rPr>
        <w:tab/>
      </w:r>
      <w:r>
        <w:rPr>
          <w:sz w:val="21"/>
          <w:u w:val="none"/>
        </w:rPr>
        <w:t>（标段名称</w:t>
      </w:r>
      <w:r>
        <w:rPr>
          <w:spacing w:val="-10"/>
          <w:sz w:val="21"/>
          <w:u w:val="none"/>
        </w:rPr>
        <w:t>）</w:t>
      </w:r>
      <w:r>
        <w:rPr>
          <w:rFonts w:ascii="Times New Roman" w:eastAsia="Times New Roman"/>
          <w:sz w:val="21"/>
          <w:u w:val="single"/>
        </w:rPr>
        <w:tab/>
      </w:r>
      <w:r>
        <w:rPr>
          <w:spacing w:val="-4"/>
          <w:sz w:val="21"/>
          <w:u w:val="none"/>
        </w:rPr>
        <w:t>（服务名称）投标文件、签订合</w:t>
      </w:r>
      <w:r>
        <w:rPr>
          <w:spacing w:val="-10"/>
          <w:sz w:val="21"/>
          <w:u w:val="none"/>
        </w:rPr>
        <w:t>同</w:t>
      </w:r>
    </w:p>
    <w:p w14:paraId="4DD311A4">
      <w:pPr>
        <w:spacing w:before="237"/>
        <w:ind w:left="802" w:right="0" w:firstLine="0"/>
        <w:jc w:val="left"/>
        <w:rPr>
          <w:sz w:val="21"/>
        </w:rPr>
      </w:pPr>
      <w:r>
        <w:rPr>
          <w:spacing w:val="-1"/>
          <w:sz w:val="21"/>
        </w:rPr>
        <w:t>和处理有关事宜，其法律后果由我方承担。</w:t>
      </w:r>
    </w:p>
    <w:p w14:paraId="45A045D6">
      <w:pPr>
        <w:pStyle w:val="10"/>
        <w:spacing w:before="70"/>
        <w:rPr>
          <w:sz w:val="21"/>
        </w:rPr>
      </w:pPr>
    </w:p>
    <w:p w14:paraId="0FF234A9">
      <w:pPr>
        <w:tabs>
          <w:tab w:val="left" w:pos="7196"/>
        </w:tabs>
        <w:spacing w:before="0"/>
        <w:ind w:left="0" w:right="345" w:firstLine="0"/>
        <w:jc w:val="center"/>
        <w:rPr>
          <w:rFonts w:ascii="Times New Roman" w:eastAsia="Times New Roman"/>
          <w:sz w:val="21"/>
        </w:rPr>
      </w:pPr>
      <w:r>
        <w:rPr>
          <w:sz w:val="21"/>
        </w:rPr>
        <w:t>委托期限</w:t>
      </w:r>
      <w:r>
        <w:rPr>
          <w:spacing w:val="-10"/>
          <w:sz w:val="21"/>
        </w:rPr>
        <w:t>：</w:t>
      </w:r>
      <w:r>
        <w:rPr>
          <w:rFonts w:ascii="Times New Roman" w:eastAsia="Times New Roman"/>
          <w:sz w:val="21"/>
          <w:u w:val="single"/>
        </w:rPr>
        <w:tab/>
      </w:r>
    </w:p>
    <w:p w14:paraId="46D14863">
      <w:pPr>
        <w:tabs>
          <w:tab w:val="left" w:pos="8266"/>
        </w:tabs>
        <w:spacing w:before="222"/>
        <w:ind w:left="2273" w:right="0" w:firstLine="0"/>
        <w:jc w:val="left"/>
        <w:rPr>
          <w:sz w:val="21"/>
        </w:rPr>
      </w:pPr>
      <w:r>
        <w:rPr>
          <w:rFonts w:ascii="Times New Roman" w:eastAsia="Times New Roman"/>
          <w:sz w:val="21"/>
          <w:u w:val="single"/>
        </w:rPr>
        <w:tab/>
      </w:r>
      <w:r>
        <w:rPr>
          <w:spacing w:val="-10"/>
          <w:sz w:val="21"/>
          <w:u w:val="none"/>
        </w:rPr>
        <w:t>。</w:t>
      </w:r>
    </w:p>
    <w:p w14:paraId="414D6871">
      <w:pPr>
        <w:pStyle w:val="10"/>
        <w:spacing w:before="205"/>
        <w:rPr>
          <w:sz w:val="21"/>
        </w:rPr>
      </w:pPr>
    </w:p>
    <w:p w14:paraId="1000B3E2">
      <w:pPr>
        <w:spacing w:before="0"/>
        <w:ind w:left="1223" w:right="0" w:firstLine="0"/>
        <w:jc w:val="left"/>
        <w:rPr>
          <w:sz w:val="21"/>
        </w:rPr>
      </w:pPr>
      <w:r>
        <w:rPr>
          <w:spacing w:val="-2"/>
          <w:sz w:val="21"/>
        </w:rPr>
        <w:t>代理人无转委托权。</w:t>
      </w:r>
    </w:p>
    <w:p w14:paraId="7B02EF36">
      <w:pPr>
        <w:pStyle w:val="10"/>
        <w:spacing w:before="190"/>
        <w:rPr>
          <w:sz w:val="21"/>
        </w:rPr>
      </w:pPr>
    </w:p>
    <w:p w14:paraId="22A24AC5">
      <w:pPr>
        <w:spacing w:before="0"/>
        <w:ind w:left="1223" w:right="0" w:firstLine="0"/>
        <w:jc w:val="left"/>
        <w:rPr>
          <w:sz w:val="21"/>
        </w:rPr>
      </w:pPr>
      <w:r>
        <w:rPr>
          <w:spacing w:val="-1"/>
          <w:sz w:val="21"/>
        </w:rPr>
        <w:t>附：法定代表人身份证明</w:t>
      </w:r>
    </w:p>
    <w:p w14:paraId="42107012">
      <w:pPr>
        <w:pStyle w:val="10"/>
        <w:rPr>
          <w:sz w:val="21"/>
        </w:rPr>
      </w:pPr>
    </w:p>
    <w:p w14:paraId="5C24ABA9">
      <w:pPr>
        <w:pStyle w:val="10"/>
        <w:spacing w:before="247"/>
        <w:rPr>
          <w:sz w:val="21"/>
        </w:rPr>
      </w:pPr>
    </w:p>
    <w:p w14:paraId="2D766765">
      <w:pPr>
        <w:tabs>
          <w:tab w:val="left" w:pos="7425"/>
        </w:tabs>
        <w:spacing w:before="0"/>
        <w:ind w:left="4377" w:right="0" w:firstLine="0"/>
        <w:jc w:val="left"/>
        <w:rPr>
          <w:sz w:val="21"/>
        </w:rPr>
      </w:pPr>
      <w:r>
        <w:rPr>
          <w:sz w:val="21"/>
        </w:rPr>
        <w:t>投</w:t>
      </w:r>
      <w:r>
        <w:rPr>
          <w:spacing w:val="52"/>
          <w:w w:val="150"/>
          <w:sz w:val="21"/>
        </w:rPr>
        <w:t xml:space="preserve"> </w:t>
      </w:r>
      <w:r>
        <w:rPr>
          <w:sz w:val="21"/>
        </w:rPr>
        <w:t>标</w:t>
      </w:r>
      <w:r>
        <w:rPr>
          <w:spacing w:val="53"/>
          <w:w w:val="150"/>
          <w:sz w:val="21"/>
        </w:rPr>
        <w:t xml:space="preserve"> </w:t>
      </w:r>
      <w:r>
        <w:rPr>
          <w:sz w:val="21"/>
        </w:rPr>
        <w:t>人</w:t>
      </w:r>
      <w:r>
        <w:rPr>
          <w:spacing w:val="-10"/>
          <w:sz w:val="21"/>
        </w:rPr>
        <w:t>：</w:t>
      </w:r>
      <w:r>
        <w:rPr>
          <w:rFonts w:ascii="Times New Roman" w:eastAsia="Times New Roman"/>
          <w:sz w:val="21"/>
          <w:u w:val="single"/>
        </w:rPr>
        <w:tab/>
      </w:r>
      <w:r>
        <w:rPr>
          <w:sz w:val="21"/>
          <w:u w:val="none"/>
        </w:rPr>
        <w:t>（盖单位章</w:t>
      </w:r>
      <w:r>
        <w:rPr>
          <w:spacing w:val="-10"/>
          <w:sz w:val="21"/>
          <w:u w:val="none"/>
        </w:rPr>
        <w:t>）</w:t>
      </w:r>
    </w:p>
    <w:p w14:paraId="507E3655">
      <w:pPr>
        <w:tabs>
          <w:tab w:val="left" w:pos="7740"/>
        </w:tabs>
        <w:spacing w:before="252"/>
        <w:ind w:left="4377" w:right="0" w:firstLine="0"/>
        <w:jc w:val="left"/>
        <w:rPr>
          <w:sz w:val="21"/>
        </w:rPr>
      </w:pPr>
      <w:r>
        <w:rPr>
          <w:sz w:val="21"/>
        </w:rPr>
        <w:t>法定代表人</w:t>
      </w:r>
      <w:r>
        <w:rPr>
          <w:spacing w:val="-10"/>
          <w:sz w:val="21"/>
        </w:rPr>
        <w:t>：</w:t>
      </w:r>
      <w:r>
        <w:rPr>
          <w:rFonts w:ascii="Times New Roman" w:eastAsia="Times New Roman"/>
          <w:sz w:val="21"/>
          <w:u w:val="single"/>
        </w:rPr>
        <w:tab/>
      </w:r>
      <w:r>
        <w:rPr>
          <w:sz w:val="21"/>
          <w:u w:val="none"/>
        </w:rPr>
        <w:t>（签字</w:t>
      </w:r>
      <w:r>
        <w:rPr>
          <w:spacing w:val="-10"/>
          <w:sz w:val="21"/>
          <w:u w:val="none"/>
        </w:rPr>
        <w:t>）</w:t>
      </w:r>
    </w:p>
    <w:p w14:paraId="25D4766D">
      <w:pPr>
        <w:tabs>
          <w:tab w:val="left" w:pos="8524"/>
        </w:tabs>
        <w:spacing w:before="252"/>
        <w:ind w:left="4377" w:right="0" w:firstLine="0"/>
        <w:jc w:val="left"/>
        <w:rPr>
          <w:rFonts w:ascii="Times New Roman" w:eastAsia="Times New Roman"/>
          <w:sz w:val="21"/>
        </w:rPr>
      </w:pPr>
      <w:r>
        <w:rPr>
          <w:sz w:val="21"/>
        </w:rPr>
        <w:t>身份证号码</w:t>
      </w:r>
      <w:r>
        <w:rPr>
          <w:spacing w:val="-10"/>
          <w:sz w:val="21"/>
        </w:rPr>
        <w:t>：</w:t>
      </w:r>
      <w:r>
        <w:rPr>
          <w:rFonts w:ascii="Times New Roman" w:eastAsia="Times New Roman"/>
          <w:sz w:val="21"/>
          <w:u w:val="single"/>
        </w:rPr>
        <w:tab/>
      </w:r>
    </w:p>
    <w:p w14:paraId="2B8EDB37">
      <w:pPr>
        <w:pStyle w:val="10"/>
        <w:spacing w:before="11"/>
        <w:rPr>
          <w:rFonts w:ascii="Times New Roman"/>
          <w:sz w:val="21"/>
        </w:rPr>
      </w:pPr>
    </w:p>
    <w:p w14:paraId="55362FB9">
      <w:pPr>
        <w:tabs>
          <w:tab w:val="left" w:pos="7845"/>
        </w:tabs>
        <w:spacing w:before="0"/>
        <w:ind w:left="4377" w:right="0" w:firstLine="0"/>
        <w:jc w:val="left"/>
        <w:rPr>
          <w:sz w:val="21"/>
        </w:rPr>
      </w:pPr>
      <w:r>
        <w:rPr>
          <w:sz w:val="21"/>
        </w:rPr>
        <w:t>委托代理人</w:t>
      </w:r>
      <w:r>
        <w:rPr>
          <w:spacing w:val="-10"/>
          <w:sz w:val="21"/>
        </w:rPr>
        <w:t>：</w:t>
      </w:r>
      <w:r>
        <w:rPr>
          <w:rFonts w:ascii="Times New Roman" w:eastAsia="Times New Roman"/>
          <w:sz w:val="21"/>
          <w:u w:val="single"/>
        </w:rPr>
        <w:tab/>
      </w:r>
      <w:r>
        <w:rPr>
          <w:sz w:val="21"/>
          <w:u w:val="none"/>
        </w:rPr>
        <w:t>（签字</w:t>
      </w:r>
      <w:r>
        <w:rPr>
          <w:spacing w:val="-10"/>
          <w:sz w:val="21"/>
          <w:u w:val="none"/>
        </w:rPr>
        <w:t>）</w:t>
      </w:r>
    </w:p>
    <w:p w14:paraId="37D7EDB5">
      <w:pPr>
        <w:tabs>
          <w:tab w:val="left" w:pos="8524"/>
        </w:tabs>
        <w:spacing w:before="253"/>
        <w:ind w:left="4377" w:right="0" w:firstLine="0"/>
        <w:jc w:val="left"/>
        <w:rPr>
          <w:rFonts w:ascii="Times New Roman" w:eastAsia="Times New Roman"/>
          <w:sz w:val="21"/>
        </w:rPr>
      </w:pPr>
      <w:r>
        <w:rPr>
          <w:sz w:val="21"/>
        </w:rPr>
        <w:t>身份证号码</w:t>
      </w:r>
      <w:r>
        <w:rPr>
          <w:spacing w:val="-10"/>
          <w:sz w:val="21"/>
        </w:rPr>
        <w:t>：</w:t>
      </w:r>
      <w:r>
        <w:rPr>
          <w:rFonts w:ascii="Times New Roman" w:eastAsia="Times New Roman"/>
          <w:sz w:val="21"/>
          <w:u w:val="single"/>
        </w:rPr>
        <w:tab/>
      </w:r>
    </w:p>
    <w:p w14:paraId="149EF9CA">
      <w:pPr>
        <w:pStyle w:val="10"/>
        <w:spacing w:before="26"/>
        <w:rPr>
          <w:rFonts w:ascii="Times New Roman"/>
          <w:sz w:val="21"/>
        </w:rPr>
      </w:pPr>
    </w:p>
    <w:p w14:paraId="088E8B2B">
      <w:pPr>
        <w:tabs>
          <w:tab w:val="left" w:pos="6268"/>
          <w:tab w:val="left" w:pos="7110"/>
          <w:tab w:val="left" w:pos="7951"/>
        </w:tabs>
        <w:spacing w:before="0"/>
        <w:ind w:left="5638" w:right="0" w:firstLine="0"/>
        <w:jc w:val="left"/>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p>
    <w:p w14:paraId="692800E2">
      <w:pPr>
        <w:spacing w:after="0"/>
        <w:jc w:val="left"/>
        <w:rPr>
          <w:sz w:val="21"/>
        </w:rPr>
        <w:sectPr>
          <w:pgSz w:w="11910" w:h="16850"/>
          <w:pgMar w:top="1560" w:right="920" w:bottom="1060" w:left="1000" w:header="0" w:footer="866" w:gutter="0"/>
          <w:cols w:space="720" w:num="1"/>
        </w:sectPr>
      </w:pPr>
    </w:p>
    <w:bookmarkEnd w:id="167"/>
    <w:bookmarkEnd w:id="168"/>
    <w:bookmarkEnd w:id="169"/>
    <w:bookmarkEnd w:id="170"/>
    <w:bookmarkEnd w:id="171"/>
    <w:p w14:paraId="07842739">
      <w:pPr>
        <w:keepNext w:val="0"/>
        <w:keepLines w:val="0"/>
        <w:widowControl/>
        <w:spacing w:before="0" w:after="0" w:line="240" w:lineRule="auto"/>
        <w:ind w:firstLine="0" w:firstLineChars="0"/>
        <w:jc w:val="center"/>
        <w:outlineLvl w:val="0"/>
        <w:rPr>
          <w:rFonts w:ascii="Times New Roman" w:hAnsi="Times New Roman" w:eastAsia="宋体" w:cs="Times New Roman"/>
          <w:b/>
          <w:bCs/>
          <w:kern w:val="44"/>
          <w:sz w:val="44"/>
          <w:szCs w:val="44"/>
          <w:lang w:val="en-US" w:eastAsia="zh-CN" w:bidi="ar-SA"/>
        </w:rPr>
      </w:pPr>
      <w:bookmarkStart w:id="251" w:name="_Toc31313"/>
      <w:bookmarkStart w:id="252" w:name="_Toc256000016"/>
      <w:bookmarkStart w:id="253" w:name="_Toc12388"/>
      <w:bookmarkStart w:id="254" w:name="_Toc140053109"/>
      <w:bookmarkStart w:id="255" w:name="_Toc4322"/>
      <w:r>
        <w:rPr>
          <w:rFonts w:ascii="Times New Roman" w:hAnsi="Times New Roman" w:eastAsia="宋体" w:cs="Times New Roman"/>
          <w:b/>
          <w:bCs/>
          <w:kern w:val="44"/>
          <w:sz w:val="44"/>
          <w:szCs w:val="44"/>
          <w:highlight w:val="white"/>
          <w:lang w:val="en-US" w:eastAsia="zh-CN" w:bidi="ar-SA"/>
        </w:rPr>
        <w:t>第三章 评标办法（综合评估法）</w:t>
      </w:r>
      <w:bookmarkEnd w:id="251"/>
      <w:bookmarkEnd w:id="252"/>
      <w:bookmarkEnd w:id="253"/>
      <w:bookmarkEnd w:id="254"/>
      <w:bookmarkEnd w:id="255"/>
    </w:p>
    <w:p w14:paraId="566DB2AC">
      <w:pPr>
        <w:rPr>
          <w:rFonts w:ascii="Times New Roman" w:hAnsi="Times New Roman"/>
          <w:highlight w:val="magenta"/>
        </w:rPr>
      </w:pPr>
      <w:bookmarkStart w:id="256" w:name="EBd58388d3aa9148d69bee367df213f347"/>
      <w:r>
        <w:rPr>
          <w:rFonts w:ascii="Times New Roman" w:hAnsi="Times New Roman"/>
          <w:color w:val="000080"/>
          <w:sz w:val="20"/>
          <w:highlight w:val="white"/>
        </w:rPr>
        <w:t xml:space="preserve"> </w:t>
      </w:r>
      <w:bookmarkEnd w:id="256"/>
    </w:p>
    <w:p w14:paraId="0CE88021">
      <w:pPr>
        <w:keepNext w:val="0"/>
        <w:keepLines w:val="0"/>
        <w:widowControl w:val="0"/>
        <w:spacing w:before="260" w:after="260" w:line="413" w:lineRule="auto"/>
        <w:ind w:firstLine="0" w:firstLineChars="0"/>
        <w:jc w:val="both"/>
        <w:outlineLvl w:val="1"/>
        <w:rPr>
          <w:rFonts w:ascii="Times New Roman" w:hAnsi="Times New Roman" w:eastAsia="黑体" w:cs="Times New Roman"/>
          <w:b/>
          <w:kern w:val="2"/>
          <w:sz w:val="32"/>
          <w:szCs w:val="32"/>
          <w:highlight w:val="cyan"/>
          <w:lang w:val="en-US" w:eastAsia="zh-CN" w:bidi="ar-SA"/>
        </w:rPr>
      </w:pPr>
      <w:bookmarkStart w:id="257" w:name="_Toc30902"/>
      <w:bookmarkStart w:id="258" w:name="_Toc907"/>
      <w:bookmarkStart w:id="259" w:name="_Toc140053110"/>
      <w:bookmarkStart w:id="260" w:name="_Toc256000017"/>
      <w:bookmarkStart w:id="261" w:name="_Toc29148"/>
      <w:r>
        <w:rPr>
          <w:rFonts w:ascii="Times New Roman" w:hAnsi="Times New Roman" w:eastAsia="黑体" w:cs="Times New Roman"/>
          <w:b/>
          <w:kern w:val="2"/>
          <w:sz w:val="32"/>
          <w:szCs w:val="32"/>
          <w:highlight w:val="white"/>
          <w:lang w:val="en-US" w:eastAsia="zh-CN" w:bidi="ar-SA"/>
        </w:rPr>
        <w:t>评标办法前附表</w:t>
      </w:r>
      <w:bookmarkEnd w:id="257"/>
      <w:bookmarkEnd w:id="258"/>
      <w:bookmarkEnd w:id="259"/>
      <w:bookmarkEnd w:id="260"/>
      <w:bookmarkEnd w:id="261"/>
    </w:p>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8"/>
        <w:gridCol w:w="981"/>
        <w:gridCol w:w="2052"/>
        <w:gridCol w:w="4429"/>
      </w:tblGrid>
      <w:tr w14:paraId="7D91B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tblHeader/>
          <w:jc w:val="center"/>
        </w:trPr>
        <w:tc>
          <w:tcPr>
            <w:tcW w:w="1739" w:type="dxa"/>
            <w:gridSpan w:val="2"/>
            <w:tcBorders>
              <w:top w:val="single" w:color="auto" w:sz="4" w:space="0"/>
              <w:bottom w:val="single" w:color="auto" w:sz="4" w:space="0"/>
              <w:right w:val="single" w:color="auto" w:sz="4" w:space="0"/>
            </w:tcBorders>
            <w:noWrap w:val="0"/>
            <w:vAlign w:val="center"/>
          </w:tcPr>
          <w:p w14:paraId="48784156">
            <w:pPr>
              <w:widowControl w:val="0"/>
              <w:spacing w:line="440" w:lineRule="exact"/>
              <w:ind w:firstLine="0" w:firstLineChars="0"/>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highlight w:val="white"/>
                <w:lang w:val="en-US" w:eastAsia="zh-CN" w:bidi="ar-SA"/>
              </w:rPr>
              <w:t>条款号</w:t>
            </w:r>
          </w:p>
        </w:tc>
        <w:tc>
          <w:tcPr>
            <w:tcW w:w="2052" w:type="dxa"/>
            <w:tcBorders>
              <w:top w:val="single" w:color="auto" w:sz="4" w:space="0"/>
              <w:left w:val="single" w:color="auto" w:sz="4" w:space="0"/>
              <w:bottom w:val="single" w:color="auto" w:sz="4" w:space="0"/>
              <w:right w:val="single" w:color="auto" w:sz="4" w:space="0"/>
            </w:tcBorders>
            <w:noWrap w:val="0"/>
            <w:vAlign w:val="center"/>
          </w:tcPr>
          <w:p w14:paraId="607DC18F">
            <w:pPr>
              <w:widowControl w:val="0"/>
              <w:spacing w:line="440" w:lineRule="exact"/>
              <w:ind w:firstLine="0" w:firstLineChars="0"/>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highlight w:val="white"/>
                <w:lang w:val="en-US" w:eastAsia="zh-CN" w:bidi="ar-SA"/>
              </w:rPr>
              <w:t>评审因素</w:t>
            </w:r>
          </w:p>
        </w:tc>
        <w:tc>
          <w:tcPr>
            <w:tcW w:w="4429" w:type="dxa"/>
            <w:tcBorders>
              <w:top w:val="single" w:color="auto" w:sz="4" w:space="0"/>
              <w:left w:val="single" w:color="auto" w:sz="4" w:space="0"/>
              <w:bottom w:val="single" w:color="auto" w:sz="4" w:space="0"/>
              <w:right w:val="single" w:color="auto" w:sz="4" w:space="0"/>
            </w:tcBorders>
            <w:noWrap w:val="0"/>
            <w:vAlign w:val="center"/>
          </w:tcPr>
          <w:p w14:paraId="643C4FB3">
            <w:pPr>
              <w:widowControl w:val="0"/>
              <w:spacing w:line="440" w:lineRule="exact"/>
              <w:ind w:firstLine="0" w:firstLineChars="0"/>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highlight w:val="white"/>
                <w:lang w:val="en-US" w:eastAsia="zh-CN" w:bidi="ar-SA"/>
              </w:rPr>
              <w:t>评审标准</w:t>
            </w:r>
          </w:p>
        </w:tc>
      </w:tr>
      <w:tr w14:paraId="4840F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0" w:hRule="atLeast"/>
          <w:tblHeader/>
          <w:jc w:val="center"/>
        </w:trPr>
        <w:tc>
          <w:tcPr>
            <w:tcW w:w="758" w:type="dxa"/>
            <w:tcBorders>
              <w:top w:val="single" w:color="auto" w:sz="4" w:space="0"/>
              <w:bottom w:val="single" w:color="auto" w:sz="4" w:space="0"/>
              <w:right w:val="single" w:color="auto" w:sz="4" w:space="0"/>
            </w:tcBorders>
            <w:noWrap w:val="0"/>
            <w:vAlign w:val="center"/>
          </w:tcPr>
          <w:p w14:paraId="72EC0B2D">
            <w:pPr>
              <w:widowControl w:val="0"/>
              <w:spacing w:line="440" w:lineRule="exact"/>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1</w:t>
            </w:r>
          </w:p>
        </w:tc>
        <w:tc>
          <w:tcPr>
            <w:tcW w:w="981" w:type="dxa"/>
            <w:tcBorders>
              <w:top w:val="single" w:color="auto" w:sz="4" w:space="0"/>
              <w:bottom w:val="single" w:color="auto" w:sz="4" w:space="0"/>
              <w:right w:val="single" w:color="auto" w:sz="4" w:space="0"/>
            </w:tcBorders>
            <w:noWrap w:val="0"/>
            <w:vAlign w:val="center"/>
          </w:tcPr>
          <w:p w14:paraId="38239C03">
            <w:pPr>
              <w:widowControl w:val="0"/>
              <w:spacing w:line="440" w:lineRule="exact"/>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评标</w:t>
            </w:r>
          </w:p>
          <w:p w14:paraId="44AFFBFD">
            <w:pPr>
              <w:widowControl w:val="0"/>
              <w:spacing w:line="440" w:lineRule="exact"/>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方法</w:t>
            </w:r>
          </w:p>
        </w:tc>
        <w:tc>
          <w:tcPr>
            <w:tcW w:w="2052" w:type="dxa"/>
            <w:tcBorders>
              <w:top w:val="single" w:color="auto" w:sz="4" w:space="0"/>
              <w:left w:val="single" w:color="auto" w:sz="4" w:space="0"/>
              <w:bottom w:val="single" w:color="auto" w:sz="4" w:space="0"/>
              <w:right w:val="single" w:color="auto" w:sz="4" w:space="0"/>
            </w:tcBorders>
            <w:noWrap w:val="0"/>
            <w:vAlign w:val="center"/>
          </w:tcPr>
          <w:p w14:paraId="2B85C93E">
            <w:pPr>
              <w:widowControl w:val="0"/>
              <w:spacing w:line="440" w:lineRule="exact"/>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中标候选人排序方法</w:t>
            </w:r>
          </w:p>
        </w:tc>
        <w:tc>
          <w:tcPr>
            <w:tcW w:w="4429" w:type="dxa"/>
            <w:tcBorders>
              <w:top w:val="single" w:color="auto" w:sz="4" w:space="0"/>
              <w:left w:val="single" w:color="auto" w:sz="4" w:space="0"/>
              <w:bottom w:val="single" w:color="auto" w:sz="4" w:space="0"/>
              <w:right w:val="single" w:color="auto" w:sz="4" w:space="0"/>
            </w:tcBorders>
            <w:noWrap w:val="0"/>
            <w:vAlign w:val="center"/>
          </w:tcPr>
          <w:p w14:paraId="10974BCE">
            <w:pPr>
              <w:widowControl w:val="0"/>
              <w:spacing w:line="440" w:lineRule="exact"/>
              <w:ind w:firstLine="0" w:firstLineChars="0"/>
              <w:jc w:val="left"/>
              <w:rPr>
                <w:rFonts w:ascii="Times New Roman" w:hAnsi="Times New Roman" w:eastAsia="宋体" w:cs="Times New Roman"/>
                <w:kern w:val="2"/>
                <w:sz w:val="21"/>
                <w:szCs w:val="21"/>
                <w:highlight w:val="green"/>
                <w:lang w:val="en-US" w:eastAsia="zh-CN" w:bidi="ar-SA"/>
              </w:rPr>
            </w:pPr>
            <w:r>
              <w:rPr>
                <w:rFonts w:hint="eastAsia" w:ascii="Times New Roman" w:hAnsi="Times New Roman"/>
                <w:color w:val="0000FF"/>
                <w:szCs w:val="21"/>
              </w:rPr>
              <w:t>本次评标采用综合评估法。评标委员会对满足招标文件实质性要求的投标文件，按照本章第2.2款规定的评分标准进行打分，并按得分由高到低顺序推荐中标候选人，但投标报价低于其成本的除外。综合评分相等时，以投标报价低的优先；投标报价也相等的，以电子投标文件上传时间较早的优先。</w:t>
            </w:r>
          </w:p>
        </w:tc>
      </w:tr>
    </w:tbl>
    <w:p w14:paraId="73ED08D2">
      <w:pPr>
        <w:rPr>
          <w:rFonts w:ascii="Times New Roman" w:hAnsi="Times New Roman"/>
          <w:color w:val="000080"/>
          <w:sz w:val="20"/>
          <w:highlight w:val="cyan"/>
        </w:rPr>
      </w:pPr>
      <w:bookmarkStart w:id="262" w:name="EB3fb1bcfa07aa40828f51471469c29315"/>
      <w:r>
        <w:rPr>
          <w:rFonts w:ascii="Times New Roman" w:hAnsi="Times New Roman"/>
          <w:color w:val="000080"/>
          <w:sz w:val="20"/>
          <w:highlight w:val="white"/>
        </w:rPr>
        <w:t xml:space="preserve"> </w:t>
      </w:r>
      <w:bookmarkEnd w:id="262"/>
    </w:p>
    <w:tbl>
      <w:tblPr>
        <w:tblStyle w:val="24"/>
        <w:tblW w:w="802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992"/>
        <w:gridCol w:w="783"/>
        <w:gridCol w:w="1548"/>
        <w:gridCol w:w="4027"/>
      </w:tblGrid>
      <w:tr w14:paraId="659E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77"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6C09AE3F">
            <w:pPr>
              <w:pStyle w:val="20"/>
              <w:jc w:val="center"/>
              <w:rPr>
                <w:rFonts w:eastAsia="宋体"/>
                <w:sz w:val="21"/>
              </w:rPr>
            </w:pPr>
            <w:bookmarkStart w:id="263" w:name="EB78b5eff140d6493d87a345eeea42a1f3"/>
            <w:r>
              <w:rPr>
                <w:rFonts w:ascii="宋体" w:hAnsi="宋体" w:eastAsia="宋体" w:cs="宋体"/>
                <w:kern w:val="0"/>
                <w:sz w:val="21"/>
                <w:szCs w:val="24"/>
                <w:lang w:val="en-US" w:eastAsia="en-US" w:bidi="ar-SA"/>
              </w:rPr>
              <w:t>2.1</w:t>
            </w:r>
          </w:p>
        </w:tc>
        <w:tc>
          <w:tcPr>
            <w:tcW w:w="992"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63E57DB8">
            <w:pPr>
              <w:pStyle w:val="20"/>
              <w:jc w:val="center"/>
              <w:rPr>
                <w:rFonts w:eastAsia="宋体"/>
                <w:sz w:val="21"/>
              </w:rPr>
            </w:pPr>
            <w:r>
              <w:rPr>
                <w:rFonts w:ascii="宋体" w:hAnsi="宋体" w:eastAsia="宋体" w:cs="宋体"/>
                <w:kern w:val="0"/>
                <w:sz w:val="21"/>
                <w:szCs w:val="24"/>
                <w:lang w:val="en-US" w:eastAsia="en-US" w:bidi="ar-SA"/>
              </w:rPr>
              <w:t>初步评审</w:t>
            </w:r>
          </w:p>
        </w:tc>
        <w:tc>
          <w:tcPr>
            <w:tcW w:w="783"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4F20C21A">
            <w:pPr>
              <w:pStyle w:val="20"/>
              <w:rPr>
                <w:rFonts w:eastAsia="宋体"/>
                <w:sz w:val="21"/>
              </w:rPr>
            </w:pPr>
            <w:r>
              <w:rPr>
                <w:rFonts w:ascii="宋体" w:hAnsi="宋体" w:eastAsia="宋体" w:cs="宋体"/>
                <w:kern w:val="0"/>
                <w:sz w:val="21"/>
                <w:szCs w:val="24"/>
                <w:lang w:val="en-US" w:eastAsia="en-US" w:bidi="ar-SA"/>
              </w:rPr>
              <w:t>形式评审</w:t>
            </w:r>
          </w:p>
        </w:tc>
        <w:tc>
          <w:tcPr>
            <w:tcW w:w="1548" w:type="dxa"/>
            <w:tcBorders>
              <w:top w:val="single" w:color="000000" w:sz="2" w:space="0"/>
              <w:left w:val="single" w:color="000000" w:sz="2" w:space="0"/>
              <w:right w:val="single" w:color="000000" w:sz="2" w:space="0"/>
            </w:tcBorders>
            <w:noWrap/>
            <w:tcMar>
              <w:top w:w="100" w:type="dxa"/>
              <w:bottom w:w="100" w:type="dxa"/>
            </w:tcMar>
            <w:vAlign w:val="center"/>
          </w:tcPr>
          <w:p w14:paraId="59E94E99">
            <w:pPr>
              <w:pStyle w:val="20"/>
              <w:rPr>
                <w:rFonts w:eastAsia="宋体"/>
                <w:sz w:val="21"/>
              </w:rPr>
            </w:pPr>
            <w:r>
              <w:rPr>
                <w:rFonts w:eastAsia="宋体"/>
                <w:sz w:val="21"/>
              </w:rPr>
              <w:t>投标文件</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14DFAD">
            <w:pPr>
              <w:pStyle w:val="20"/>
              <w:rPr>
                <w:rFonts w:eastAsia="宋体"/>
                <w:sz w:val="21"/>
              </w:rPr>
            </w:pPr>
            <w:r>
              <w:rPr>
                <w:rFonts w:hint="eastAsia" w:eastAsia="宋体"/>
                <w:sz w:val="21"/>
              </w:rPr>
              <w:t>在评标过程中，</w:t>
            </w:r>
            <w:r>
              <w:rPr>
                <w:rFonts w:eastAsia="宋体"/>
                <w:sz w:val="21"/>
              </w:rPr>
              <w:t>投标文件能正常打开</w:t>
            </w:r>
          </w:p>
        </w:tc>
      </w:tr>
      <w:tr w14:paraId="73769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0D150FFE">
            <w:pPr>
              <w:pStyle w:val="20"/>
              <w:jc w:val="center"/>
              <w:rPr>
                <w:rFonts w:ascii="宋体" w:hAnsi="宋体" w:eastAsia="宋体" w:cs="宋体"/>
                <w:kern w:val="0"/>
                <w:sz w:val="21"/>
                <w:szCs w:val="24"/>
                <w:lang w:val="en-US" w:eastAsia="en-US" w:bidi="ar-SA"/>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54314B0A">
            <w:pPr>
              <w:pStyle w:val="20"/>
              <w:jc w:val="center"/>
              <w:rPr>
                <w:rFonts w:ascii="宋体" w:hAnsi="宋体" w:eastAsia="宋体" w:cs="宋体"/>
                <w:kern w:val="0"/>
                <w:sz w:val="21"/>
                <w:szCs w:val="24"/>
                <w:lang w:val="en-US" w:eastAsia="en-US" w:bidi="ar-SA"/>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5DBD5776">
            <w:pPr>
              <w:pStyle w:val="20"/>
              <w:rPr>
                <w:rFonts w:ascii="宋体" w:hAnsi="宋体" w:eastAsia="宋体" w:cs="宋体"/>
                <w:kern w:val="0"/>
                <w:sz w:val="21"/>
                <w:szCs w:val="24"/>
                <w:lang w:val="en-US" w:eastAsia="en-US" w:bidi="ar-SA"/>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B65DDD">
            <w:pPr>
              <w:pStyle w:val="20"/>
              <w:rPr>
                <w:rFonts w:eastAsia="宋体"/>
                <w:sz w:val="21"/>
              </w:rPr>
            </w:pPr>
            <w:r>
              <w:rPr>
                <w:rFonts w:eastAsia="宋体"/>
                <w:sz w:val="21"/>
              </w:rPr>
              <w:t>投标人名称</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C330C4">
            <w:pPr>
              <w:pStyle w:val="20"/>
              <w:rPr>
                <w:rStyle w:val="25"/>
                <w:rFonts w:ascii="宋体" w:hAnsi="宋体" w:eastAsia="宋体" w:cs="宋体"/>
                <w:kern w:val="2"/>
                <w:sz w:val="21"/>
                <w:lang w:val="en-US" w:eastAsia="zh-CN"/>
              </w:rPr>
            </w:pPr>
            <w:r>
              <w:rPr>
                <w:rStyle w:val="25"/>
                <w:rFonts w:ascii="宋体" w:hAnsi="宋体" w:eastAsia="宋体" w:cs="宋体"/>
                <w:kern w:val="2"/>
                <w:sz w:val="21"/>
                <w:lang w:val="en-US" w:eastAsia="zh-CN"/>
              </w:rPr>
              <w:t>投标文件封面的投标人名称、投标</w:t>
            </w:r>
          </w:p>
          <w:p w14:paraId="272330D0">
            <w:pPr>
              <w:pStyle w:val="20"/>
              <w:rPr>
                <w:rFonts w:eastAsia="宋体"/>
                <w:sz w:val="21"/>
              </w:rPr>
            </w:pPr>
            <w:r>
              <w:rPr>
                <w:rStyle w:val="25"/>
                <w:rFonts w:ascii="宋体" w:hAnsi="宋体" w:eastAsia="宋体" w:cs="宋体"/>
                <w:kern w:val="2"/>
                <w:sz w:val="21"/>
                <w:lang w:val="en-US" w:eastAsia="zh-CN"/>
              </w:rPr>
              <w:t>函（不含投标函附录）中投标人名称、</w:t>
            </w:r>
            <w:r>
              <w:rPr>
                <w:rStyle w:val="25"/>
                <w:rFonts w:hint="eastAsia" w:ascii="宋体" w:hAnsi="宋体" w:eastAsia="宋体" w:cs="宋体"/>
                <w:kern w:val="2"/>
                <w:sz w:val="21"/>
                <w:lang w:val="en-US" w:eastAsia="zh-CN"/>
              </w:rPr>
              <w:t>营</w:t>
            </w:r>
            <w:r>
              <w:rPr>
                <w:rStyle w:val="25"/>
                <w:rFonts w:ascii="宋体" w:hAnsi="宋体" w:eastAsia="宋体" w:cs="宋体"/>
                <w:kern w:val="2"/>
                <w:sz w:val="21"/>
                <w:lang w:val="en-US" w:eastAsia="zh-CN"/>
              </w:rPr>
              <w:t>业执照（或事业单位法人证书）、资质证书投标人名称须一致，不一致时需提供相关部门的合法批件。</w:t>
            </w:r>
          </w:p>
        </w:tc>
      </w:tr>
      <w:tr w14:paraId="677C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1D89514D">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4A1C90AD">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247E8526">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9F27F5">
            <w:pPr>
              <w:pStyle w:val="20"/>
              <w:rPr>
                <w:rFonts w:eastAsia="宋体"/>
                <w:sz w:val="21"/>
              </w:rPr>
            </w:pPr>
            <w:r>
              <w:rPr>
                <w:rFonts w:eastAsia="宋体"/>
                <w:sz w:val="21"/>
              </w:rPr>
              <w:t>投标文件的签署</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B2EDD4">
            <w:pPr>
              <w:pStyle w:val="20"/>
              <w:rPr>
                <w:rFonts w:eastAsia="宋体"/>
                <w:sz w:val="21"/>
              </w:rPr>
            </w:pPr>
            <w:r>
              <w:rPr>
                <w:rFonts w:eastAsia="宋体"/>
                <w:sz w:val="21"/>
              </w:rPr>
              <w:t>投标文件签署符合以下要求：</w:t>
            </w:r>
          </w:p>
          <w:p w14:paraId="68468B58">
            <w:pPr>
              <w:pStyle w:val="20"/>
              <w:rPr>
                <w:rFonts w:eastAsia="宋体"/>
                <w:sz w:val="21"/>
              </w:rPr>
            </w:pPr>
            <w:r>
              <w:rPr>
                <w:rFonts w:eastAsia="宋体"/>
                <w:sz w:val="21"/>
              </w:rPr>
              <w:t>a.投标文件封面加盖了单位章；</w:t>
            </w:r>
          </w:p>
          <w:p w14:paraId="7803AFEC">
            <w:pPr>
              <w:pStyle w:val="20"/>
              <w:rPr>
                <w:rFonts w:eastAsia="宋体"/>
                <w:sz w:val="21"/>
              </w:rPr>
            </w:pPr>
            <w:r>
              <w:rPr>
                <w:rFonts w:eastAsia="宋体"/>
                <w:sz w:val="21"/>
              </w:rPr>
              <w:t>b.投标函加盖了单位章；</w:t>
            </w:r>
          </w:p>
          <w:p w14:paraId="0E3920DC">
            <w:pPr>
              <w:pStyle w:val="20"/>
              <w:rPr>
                <w:rFonts w:eastAsia="宋体"/>
                <w:sz w:val="21"/>
              </w:rPr>
            </w:pPr>
            <w:r>
              <w:rPr>
                <w:rFonts w:eastAsia="宋体"/>
                <w:sz w:val="21"/>
              </w:rPr>
              <w:t>c.投标函加盖了法定代表人的个人章或签名章。</w:t>
            </w:r>
          </w:p>
          <w:p w14:paraId="7B5FB823">
            <w:pPr>
              <w:pStyle w:val="20"/>
              <w:rPr>
                <w:rFonts w:eastAsia="宋体"/>
                <w:sz w:val="21"/>
              </w:rPr>
            </w:pPr>
            <w:r>
              <w:rPr>
                <w:rFonts w:hint="eastAsia" w:eastAsia="宋体"/>
                <w:sz w:val="21"/>
              </w:rPr>
              <w:t>注：投标函附录可不签字盖章。</w:t>
            </w:r>
          </w:p>
        </w:tc>
      </w:tr>
      <w:tr w14:paraId="0198E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7EE2F273">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4B0A8006">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18292683">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B823FF">
            <w:pPr>
              <w:pStyle w:val="20"/>
              <w:rPr>
                <w:rFonts w:eastAsia="宋体"/>
                <w:sz w:val="21"/>
              </w:rPr>
            </w:pPr>
            <w:r>
              <w:rPr>
                <w:rFonts w:eastAsia="宋体"/>
                <w:sz w:val="21"/>
              </w:rPr>
              <w:t>投标文件的</w:t>
            </w:r>
            <w:r>
              <w:rPr>
                <w:rFonts w:hint="eastAsia" w:eastAsia="宋体"/>
                <w:sz w:val="21"/>
                <w:lang w:val="en-US" w:eastAsia="zh-CN"/>
              </w:rPr>
              <w:t>组成部分</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DAE678">
            <w:pPr>
              <w:pStyle w:val="20"/>
              <w:rPr>
                <w:rFonts w:hint="eastAsia" w:eastAsia="宋体"/>
                <w:sz w:val="21"/>
              </w:rPr>
            </w:pPr>
            <w:r>
              <w:rPr>
                <w:rFonts w:hint="eastAsia" w:eastAsia="宋体"/>
                <w:sz w:val="21"/>
              </w:rPr>
              <w:t>投标文件以下内容齐全：</w:t>
            </w:r>
          </w:p>
          <w:p w14:paraId="38D7BF32">
            <w:pPr>
              <w:pStyle w:val="20"/>
              <w:rPr>
                <w:rFonts w:hint="eastAsia" w:eastAsia="宋体"/>
                <w:sz w:val="21"/>
              </w:rPr>
            </w:pPr>
            <w:r>
              <w:rPr>
                <w:rFonts w:hint="eastAsia" w:eastAsia="宋体"/>
                <w:sz w:val="21"/>
              </w:rPr>
              <w:t>投标函（不含投标函附录）、法定代表人身份证明、投标报价清单、投标人基本情况表、近年完成的类似项目情况表、投标人信誉声明</w:t>
            </w:r>
          </w:p>
          <w:p w14:paraId="0E3CE4BF">
            <w:pPr>
              <w:pStyle w:val="20"/>
              <w:rPr>
                <w:rFonts w:hint="eastAsia" w:eastAsia="宋体"/>
                <w:sz w:val="21"/>
              </w:rPr>
            </w:pPr>
            <w:r>
              <w:rPr>
                <w:rFonts w:hint="eastAsia" w:eastAsia="宋体"/>
                <w:sz w:val="21"/>
              </w:rPr>
              <w:t>（信誉情况承诺函）、拟委任的项</w:t>
            </w:r>
          </w:p>
          <w:p w14:paraId="35184925">
            <w:pPr>
              <w:pStyle w:val="20"/>
              <w:rPr>
                <w:rFonts w:hint="eastAsia" w:eastAsia="宋体"/>
                <w:sz w:val="21"/>
              </w:rPr>
            </w:pPr>
            <w:r>
              <w:rPr>
                <w:rFonts w:hint="eastAsia" w:eastAsia="宋体"/>
                <w:sz w:val="21"/>
              </w:rPr>
              <w:t>目负责人简历表、拟委任的技术负责人简历表、技术建议书。</w:t>
            </w:r>
          </w:p>
          <w:p w14:paraId="5315D553">
            <w:pPr>
              <w:pStyle w:val="20"/>
              <w:rPr>
                <w:rFonts w:eastAsia="宋体"/>
                <w:sz w:val="21"/>
              </w:rPr>
            </w:pPr>
            <w:r>
              <w:rPr>
                <w:rFonts w:hint="eastAsia" w:eastAsia="宋体"/>
                <w:sz w:val="21"/>
              </w:rPr>
              <w:t>注：①招标文件要求相关表格附相应证明材料的，投标人未按要求提供证明材料属于重大偏差；②投标人填写的表格内容与证明材料内容不一致时，以证明材料内容为准，述不一致的情形不属于重大偏差。</w:t>
            </w:r>
          </w:p>
        </w:tc>
      </w:tr>
      <w:tr w14:paraId="5C18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01F578C4">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15E862D3">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4ED96A4A">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80EA636">
            <w:pPr>
              <w:pStyle w:val="20"/>
              <w:rPr>
                <w:rFonts w:hint="eastAsia" w:eastAsia="宋体"/>
                <w:sz w:val="21"/>
                <w:lang w:val="en-US" w:eastAsia="zh-CN"/>
              </w:rPr>
            </w:pPr>
            <w:r>
              <w:rPr>
                <w:rFonts w:eastAsia="宋体"/>
                <w:sz w:val="21"/>
                <w:lang w:eastAsia="zh-CN"/>
              </w:rPr>
              <w:t>不接受</w:t>
            </w:r>
            <w:r>
              <w:rPr>
                <w:rFonts w:eastAsia="宋体"/>
                <w:sz w:val="21"/>
              </w:rPr>
              <w:t>联合体投标人</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E808F4">
            <w:pPr>
              <w:pStyle w:val="20"/>
              <w:rPr>
                <w:rFonts w:eastAsia="宋体"/>
                <w:sz w:val="21"/>
              </w:rPr>
            </w:pPr>
            <w:r>
              <w:rPr>
                <w:rFonts w:eastAsia="宋体"/>
                <w:sz w:val="21"/>
              </w:rPr>
              <w:t>未以联合体形式投标</w:t>
            </w:r>
          </w:p>
        </w:tc>
      </w:tr>
      <w:tr w14:paraId="2C7A5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0BA177D5">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71A05503">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0F11DBF6">
            <w:pPr>
              <w:pStyle w:val="20"/>
              <w:rPr>
                <w:rFonts w:eastAsia="宋体"/>
                <w:sz w:val="21"/>
                <w:lang w:eastAsia="zh-CN"/>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8A9F38">
            <w:pPr>
              <w:pStyle w:val="20"/>
              <w:rPr>
                <w:rFonts w:eastAsia="宋体"/>
                <w:sz w:val="21"/>
              </w:rPr>
            </w:pPr>
            <w:r>
              <w:rPr>
                <w:rStyle w:val="25"/>
                <w:rFonts w:ascii="宋体" w:hAnsi="宋体" w:eastAsia="宋体" w:cs="宋体"/>
                <w:b w:val="0"/>
                <w:kern w:val="2"/>
                <w:sz w:val="21"/>
                <w:szCs w:val="24"/>
                <w:lang w:val="en-US" w:eastAsia="zh-CN"/>
              </w:rPr>
              <w:t>投标报价</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7658D5">
            <w:pPr>
              <w:pStyle w:val="20"/>
              <w:rPr>
                <w:rFonts w:eastAsia="宋体"/>
                <w:sz w:val="21"/>
              </w:rPr>
            </w:pPr>
            <w:r>
              <w:rPr>
                <w:rFonts w:ascii="Times New Roman" w:hAnsi="Times New Roman"/>
                <w:sz w:val="21"/>
                <w:szCs w:val="24"/>
                <w:highlight w:val="none"/>
              </w:rPr>
              <w:t>只能有一个报价（指投标函中的</w:t>
            </w:r>
            <w:r>
              <w:rPr>
                <w:rFonts w:hint="eastAsia" w:ascii="Times New Roman" w:hAnsi="Times New Roman"/>
                <w:sz w:val="21"/>
                <w:szCs w:val="24"/>
                <w:highlight w:val="none"/>
              </w:rPr>
              <w:t>大写</w:t>
            </w:r>
            <w:r>
              <w:rPr>
                <w:rFonts w:ascii="Times New Roman" w:hAnsi="Times New Roman"/>
                <w:sz w:val="21"/>
                <w:szCs w:val="24"/>
                <w:highlight w:val="none"/>
              </w:rPr>
              <w:t>报价）</w:t>
            </w:r>
            <w:r>
              <w:rPr>
                <w:rFonts w:hint="eastAsia" w:ascii="Times New Roman" w:hAnsi="Times New Roman"/>
                <w:sz w:val="21"/>
                <w:szCs w:val="24"/>
                <w:highlight w:val="none"/>
              </w:rPr>
              <w:t>且</w:t>
            </w:r>
            <w:r>
              <w:rPr>
                <w:sz w:val="21"/>
                <w:szCs w:val="21"/>
                <w:highlight w:val="none"/>
              </w:rPr>
              <w:t>投标</w:t>
            </w:r>
            <w:r>
              <w:rPr>
                <w:rFonts w:hint="eastAsia"/>
                <w:sz w:val="21"/>
                <w:szCs w:val="21"/>
                <w:highlight w:val="none"/>
              </w:rPr>
              <w:t>函</w:t>
            </w:r>
            <w:r>
              <w:rPr>
                <w:sz w:val="21"/>
                <w:szCs w:val="21"/>
                <w:highlight w:val="none"/>
              </w:rPr>
              <w:t>中的</w:t>
            </w:r>
            <w:r>
              <w:rPr>
                <w:rFonts w:hint="eastAsia"/>
                <w:sz w:val="21"/>
                <w:szCs w:val="21"/>
                <w:highlight w:val="none"/>
                <w:lang w:val="en-US" w:eastAsia="zh-CN"/>
              </w:rPr>
              <w:t>投标总</w:t>
            </w:r>
            <w:r>
              <w:rPr>
                <w:sz w:val="21"/>
                <w:szCs w:val="21"/>
                <w:highlight w:val="none"/>
              </w:rPr>
              <w:t>报价与投标文件格式中投标报价表中的</w:t>
            </w:r>
            <w:r>
              <w:rPr>
                <w:rFonts w:hint="eastAsia"/>
                <w:sz w:val="21"/>
                <w:szCs w:val="21"/>
                <w:highlight w:val="none"/>
                <w:lang w:val="en-US" w:eastAsia="zh-CN"/>
              </w:rPr>
              <w:t>投标</w:t>
            </w:r>
            <w:r>
              <w:rPr>
                <w:sz w:val="21"/>
                <w:szCs w:val="21"/>
                <w:highlight w:val="none"/>
              </w:rPr>
              <w:t>总</w:t>
            </w:r>
            <w:r>
              <w:rPr>
                <w:rFonts w:hint="eastAsia"/>
                <w:sz w:val="21"/>
                <w:szCs w:val="21"/>
                <w:highlight w:val="none"/>
                <w:lang w:val="en-US" w:eastAsia="zh-CN"/>
              </w:rPr>
              <w:t>报</w:t>
            </w:r>
            <w:r>
              <w:rPr>
                <w:sz w:val="21"/>
                <w:szCs w:val="21"/>
                <w:highlight w:val="none"/>
              </w:rPr>
              <w:t>价一致</w:t>
            </w:r>
            <w:r>
              <w:rPr>
                <w:rFonts w:ascii="Times New Roman" w:hAnsi="Times New Roman"/>
                <w:sz w:val="21"/>
                <w:szCs w:val="24"/>
                <w:highlight w:val="none"/>
              </w:rPr>
              <w:t>。</w:t>
            </w:r>
          </w:p>
        </w:tc>
      </w:tr>
      <w:tr w14:paraId="1EFA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54DCFACC">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7D5A0C41">
            <w:pPr>
              <w:pStyle w:val="20"/>
              <w:jc w:val="center"/>
              <w:rPr>
                <w:rFonts w:eastAsia="宋体"/>
                <w:sz w:val="21"/>
              </w:rPr>
            </w:pPr>
          </w:p>
        </w:tc>
        <w:tc>
          <w:tcPr>
            <w:tcW w:w="783"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37EF3392">
            <w:pPr>
              <w:pStyle w:val="20"/>
              <w:rPr>
                <w:rStyle w:val="25"/>
                <w:rFonts w:ascii="宋体" w:hAnsi="宋体" w:eastAsia="宋体" w:cs="宋体"/>
                <w:b w:val="0"/>
                <w:sz w:val="21"/>
                <w:szCs w:val="24"/>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4506F4">
            <w:pPr>
              <w:pStyle w:val="20"/>
              <w:rPr>
                <w:rFonts w:eastAsia="宋体"/>
                <w:sz w:val="21"/>
              </w:rPr>
            </w:pPr>
            <w:r>
              <w:rPr>
                <w:rFonts w:eastAsia="宋体"/>
                <w:sz w:val="21"/>
              </w:rPr>
              <w:t>营业执照（事业单位法人证书）</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9C4CB3">
            <w:pPr>
              <w:pStyle w:val="20"/>
              <w:rPr>
                <w:rFonts w:eastAsia="宋体"/>
                <w:sz w:val="21"/>
              </w:rPr>
            </w:pPr>
            <w:r>
              <w:rPr>
                <w:rFonts w:ascii="Times New Roman" w:hAnsi="Times New Roman"/>
                <w:sz w:val="21"/>
                <w:highlight w:val="none"/>
              </w:rPr>
              <w:t>提供了</w:t>
            </w:r>
            <w:r>
              <w:rPr>
                <w:rFonts w:hint="eastAsia" w:ascii="Times New Roman" w:hAnsi="Times New Roman"/>
                <w:sz w:val="21"/>
                <w:highlight w:val="none"/>
                <w:lang w:eastAsia="zh-CN"/>
              </w:rPr>
              <w:t>有效的营业执照或事业单位法人证书</w:t>
            </w:r>
          </w:p>
        </w:tc>
      </w:tr>
      <w:tr w14:paraId="6945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28DEAE87">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23A132D1">
            <w:pPr>
              <w:pStyle w:val="20"/>
              <w:jc w:val="center"/>
              <w:rPr>
                <w:rFonts w:eastAsia="宋体"/>
                <w:sz w:val="21"/>
              </w:rPr>
            </w:pPr>
          </w:p>
        </w:tc>
        <w:tc>
          <w:tcPr>
            <w:tcW w:w="783" w:type="dxa"/>
            <w:tcBorders>
              <w:left w:val="single" w:color="000000" w:sz="2" w:space="0"/>
              <w:bottom w:val="single" w:color="000000" w:sz="2" w:space="0"/>
              <w:right w:val="single" w:color="000000" w:sz="2" w:space="0"/>
            </w:tcBorders>
            <w:noWrap/>
            <w:tcMar>
              <w:top w:w="100" w:type="dxa"/>
              <w:bottom w:w="100" w:type="dxa"/>
            </w:tcMar>
            <w:vAlign w:val="center"/>
          </w:tcPr>
          <w:p w14:paraId="27BB2226">
            <w:pPr>
              <w:pStyle w:val="20"/>
              <w:rPr>
                <w:rStyle w:val="25"/>
                <w:rFonts w:ascii="宋体" w:hAnsi="宋体" w:eastAsia="宋体" w:cs="宋体"/>
                <w:b w:val="0"/>
                <w:sz w:val="21"/>
                <w:szCs w:val="24"/>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B6C125">
            <w:pPr>
              <w:pStyle w:val="20"/>
              <w:rPr>
                <w:rFonts w:eastAsia="宋体"/>
                <w:sz w:val="21"/>
              </w:rPr>
            </w:pPr>
            <w:r>
              <w:rPr>
                <w:rFonts w:hint="eastAsia" w:eastAsia="宋体"/>
                <w:sz w:val="21"/>
              </w:rPr>
              <w:t>“技术暗标”</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DDC62C">
            <w:pPr>
              <w:pStyle w:val="20"/>
              <w:rPr>
                <w:rFonts w:hint="eastAsia" w:eastAsia="宋体"/>
                <w:sz w:val="21"/>
                <w:highlight w:val="none"/>
              </w:rPr>
            </w:pPr>
            <w:r>
              <w:rPr>
                <w:rFonts w:hint="eastAsia" w:eastAsia="宋体"/>
                <w:sz w:val="21"/>
                <w:highlight w:val="none"/>
              </w:rPr>
              <w:t>（1）技术建议书中未出现页眉；</w:t>
            </w:r>
          </w:p>
          <w:p w14:paraId="553DAFE8">
            <w:pPr>
              <w:pStyle w:val="20"/>
              <w:rPr>
                <w:rFonts w:hint="eastAsia" w:eastAsia="宋体"/>
                <w:sz w:val="21"/>
                <w:highlight w:val="none"/>
              </w:rPr>
            </w:pPr>
            <w:r>
              <w:rPr>
                <w:rFonts w:hint="eastAsia" w:eastAsia="宋体"/>
                <w:sz w:val="21"/>
                <w:highlight w:val="none"/>
              </w:rPr>
              <w:t>（2）技术建议书中页脚未出现除页码以外的其他内容；</w:t>
            </w:r>
          </w:p>
          <w:p w14:paraId="0568C51C">
            <w:pPr>
              <w:pStyle w:val="20"/>
              <w:rPr>
                <w:rFonts w:hint="eastAsia" w:eastAsia="宋体"/>
                <w:sz w:val="21"/>
                <w:highlight w:val="none"/>
              </w:rPr>
            </w:pPr>
            <w:r>
              <w:rPr>
                <w:rFonts w:hint="eastAsia" w:eastAsia="宋体"/>
                <w:sz w:val="21"/>
                <w:highlight w:val="none"/>
              </w:rPr>
              <w:t>（3）技术建议书中未出现投标人的</w:t>
            </w:r>
          </w:p>
          <w:p w14:paraId="157F94B0">
            <w:pPr>
              <w:pStyle w:val="20"/>
              <w:rPr>
                <w:rFonts w:hint="eastAsia" w:eastAsia="宋体"/>
                <w:sz w:val="21"/>
                <w:highlight w:val="none"/>
              </w:rPr>
            </w:pPr>
            <w:r>
              <w:rPr>
                <w:rFonts w:hint="eastAsia" w:eastAsia="宋体"/>
                <w:sz w:val="21"/>
                <w:highlight w:val="none"/>
              </w:rPr>
              <w:t>名称；</w:t>
            </w:r>
          </w:p>
          <w:p w14:paraId="65897471">
            <w:pPr>
              <w:pStyle w:val="20"/>
              <w:rPr>
                <w:rFonts w:hint="eastAsia" w:eastAsia="宋体"/>
                <w:sz w:val="21"/>
                <w:highlight w:val="none"/>
              </w:rPr>
            </w:pPr>
            <w:r>
              <w:rPr>
                <w:rFonts w:hint="eastAsia" w:eastAsia="宋体"/>
                <w:sz w:val="21"/>
                <w:highlight w:val="none"/>
              </w:rPr>
              <w:t>（4）技术建议书中未出现其它可识别投标人身份的字符、徽标、人员名称等。</w:t>
            </w:r>
          </w:p>
        </w:tc>
      </w:tr>
      <w:tr w14:paraId="745C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4141D581">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5CFA7E15">
            <w:pPr>
              <w:pStyle w:val="20"/>
              <w:jc w:val="center"/>
              <w:rPr>
                <w:rFonts w:eastAsia="宋体"/>
                <w:sz w:val="21"/>
              </w:rPr>
            </w:pPr>
          </w:p>
        </w:tc>
        <w:tc>
          <w:tcPr>
            <w:tcW w:w="783"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534D700E">
            <w:pPr>
              <w:pStyle w:val="20"/>
              <w:rPr>
                <w:rFonts w:eastAsia="宋体"/>
                <w:sz w:val="21"/>
              </w:rPr>
            </w:pPr>
            <w:r>
              <w:rPr>
                <w:rFonts w:ascii="宋体" w:hAnsi="宋体" w:eastAsia="宋体" w:cs="宋体"/>
                <w:kern w:val="0"/>
                <w:sz w:val="21"/>
                <w:szCs w:val="24"/>
                <w:lang w:val="en-US" w:eastAsia="en-US" w:bidi="ar-SA"/>
              </w:rPr>
              <w:t>资格评审</w:t>
            </w: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D5D0B0">
            <w:pPr>
              <w:pStyle w:val="20"/>
              <w:rPr>
                <w:rFonts w:eastAsia="宋体"/>
                <w:sz w:val="21"/>
              </w:rPr>
            </w:pPr>
            <w:r>
              <w:rPr>
                <w:rFonts w:eastAsia="宋体"/>
                <w:sz w:val="21"/>
              </w:rPr>
              <w:t>基本账户开户证明</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63CB47">
            <w:pPr>
              <w:pStyle w:val="20"/>
              <w:rPr>
                <w:rFonts w:hint="eastAsia" w:eastAsia="宋体"/>
                <w:sz w:val="21"/>
              </w:rPr>
            </w:pPr>
            <w:r>
              <w:rPr>
                <w:rFonts w:hint="eastAsia" w:eastAsia="宋体"/>
                <w:sz w:val="21"/>
              </w:rPr>
              <w:t>采用现金方式递交投标保证金的，提供了基本存款账户信息或有效的基本账户开户许可证。</w:t>
            </w:r>
          </w:p>
          <w:p w14:paraId="0FB84969">
            <w:pPr>
              <w:pStyle w:val="20"/>
              <w:rPr>
                <w:rFonts w:eastAsia="宋体"/>
                <w:sz w:val="21"/>
              </w:rPr>
            </w:pPr>
            <w:r>
              <w:rPr>
                <w:rFonts w:hint="eastAsia" w:eastAsia="宋体"/>
                <w:sz w:val="21"/>
              </w:rPr>
              <w:t>注：①采用现金方式递交投标保证金的，投标人应在投标文件格式 “投标保证金”中上传基本账户开户许可证（或基本存款账户信息）的扫描件；②采用其他方式递交投标保证金的，不需要提交基本账户开户许可证（或基本存款账户信 息）。</w:t>
            </w:r>
          </w:p>
        </w:tc>
      </w:tr>
      <w:tr w14:paraId="6355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6E12F78E">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1C65A529">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3FD9E563">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CFFBB1">
            <w:pPr>
              <w:pStyle w:val="20"/>
              <w:rPr>
                <w:rFonts w:eastAsia="宋体"/>
                <w:sz w:val="21"/>
              </w:rPr>
            </w:pPr>
            <w:r>
              <w:rPr>
                <w:rFonts w:eastAsia="宋体"/>
                <w:sz w:val="21"/>
              </w:rPr>
              <w:t>资质要求</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BAC9377">
            <w:pPr>
              <w:pStyle w:val="20"/>
              <w:rPr>
                <w:rFonts w:eastAsia="宋体"/>
                <w:sz w:val="21"/>
              </w:rPr>
            </w:pPr>
            <w:r>
              <w:rPr>
                <w:rFonts w:eastAsia="宋体"/>
                <w:sz w:val="21"/>
              </w:rPr>
              <w:t>符合第一章“招标公告”附录1</w:t>
            </w:r>
            <w:r>
              <w:rPr>
                <w:rFonts w:hint="eastAsia" w:eastAsia="宋体"/>
                <w:sz w:val="21"/>
                <w:lang w:val="en-US" w:eastAsia="zh-CN"/>
              </w:rPr>
              <w:t>及备注</w:t>
            </w:r>
            <w:r>
              <w:rPr>
                <w:rFonts w:eastAsia="宋体"/>
                <w:sz w:val="21"/>
              </w:rPr>
              <w:t>的规定</w:t>
            </w:r>
          </w:p>
        </w:tc>
      </w:tr>
      <w:tr w14:paraId="7FA1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1483F9B9">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5D5295DF">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6309C7ED">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7E7565">
            <w:pPr>
              <w:pStyle w:val="20"/>
              <w:rPr>
                <w:rFonts w:eastAsia="宋体"/>
                <w:sz w:val="21"/>
              </w:rPr>
            </w:pPr>
            <w:r>
              <w:rPr>
                <w:rFonts w:eastAsia="宋体"/>
                <w:sz w:val="21"/>
              </w:rPr>
              <w:t>业绩要求</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168336">
            <w:pPr>
              <w:pStyle w:val="20"/>
              <w:rPr>
                <w:rFonts w:eastAsia="宋体"/>
                <w:sz w:val="21"/>
              </w:rPr>
            </w:pPr>
            <w:r>
              <w:rPr>
                <w:rFonts w:eastAsia="宋体"/>
                <w:sz w:val="21"/>
              </w:rPr>
              <w:t>符合第一章“招标公告”附录2</w:t>
            </w:r>
            <w:r>
              <w:rPr>
                <w:rFonts w:hint="eastAsia" w:eastAsia="宋体"/>
                <w:sz w:val="21"/>
                <w:lang w:val="en-US" w:eastAsia="zh-CN"/>
              </w:rPr>
              <w:t>及备注</w:t>
            </w:r>
            <w:r>
              <w:rPr>
                <w:rFonts w:eastAsia="宋体"/>
                <w:sz w:val="21"/>
              </w:rPr>
              <w:t>的规定</w:t>
            </w:r>
          </w:p>
        </w:tc>
      </w:tr>
      <w:tr w14:paraId="0155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6C09DE8E">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2E56A73B">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43CBD045">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BBAB7B">
            <w:pPr>
              <w:pStyle w:val="20"/>
              <w:rPr>
                <w:rFonts w:eastAsia="宋体"/>
                <w:sz w:val="21"/>
              </w:rPr>
            </w:pPr>
            <w:r>
              <w:rPr>
                <w:rFonts w:eastAsia="宋体"/>
                <w:sz w:val="21"/>
              </w:rPr>
              <w:t>信誉要求</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8C95DE3">
            <w:pPr>
              <w:pStyle w:val="20"/>
              <w:rPr>
                <w:rFonts w:eastAsia="宋体"/>
                <w:sz w:val="21"/>
              </w:rPr>
            </w:pPr>
            <w:r>
              <w:rPr>
                <w:rFonts w:eastAsia="宋体"/>
                <w:sz w:val="21"/>
              </w:rPr>
              <w:t>符合第一章“招标公告”附录4</w:t>
            </w:r>
            <w:r>
              <w:rPr>
                <w:rFonts w:hint="eastAsia" w:eastAsia="宋体"/>
                <w:sz w:val="21"/>
                <w:lang w:val="en-US" w:eastAsia="zh-CN"/>
              </w:rPr>
              <w:t>及备注</w:t>
            </w:r>
            <w:r>
              <w:rPr>
                <w:rFonts w:eastAsia="宋体"/>
                <w:sz w:val="21"/>
              </w:rPr>
              <w:t>的规定</w:t>
            </w:r>
          </w:p>
        </w:tc>
      </w:tr>
      <w:tr w14:paraId="7E3E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165F53F8">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7DC08D1A">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39A09CFF">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125E3F">
            <w:pPr>
              <w:pStyle w:val="20"/>
              <w:rPr>
                <w:rFonts w:eastAsia="宋体"/>
                <w:sz w:val="21"/>
              </w:rPr>
            </w:pPr>
            <w:r>
              <w:rPr>
                <w:rFonts w:eastAsia="宋体"/>
                <w:sz w:val="21"/>
              </w:rPr>
              <w:t>项目负责人的资格要求</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8620102">
            <w:pPr>
              <w:pStyle w:val="20"/>
              <w:rPr>
                <w:rFonts w:eastAsia="宋体"/>
                <w:sz w:val="21"/>
              </w:rPr>
            </w:pPr>
            <w:r>
              <w:rPr>
                <w:rFonts w:eastAsia="宋体"/>
                <w:sz w:val="21"/>
              </w:rPr>
              <w:t>符合第一章“招标公告”附录3</w:t>
            </w:r>
            <w:r>
              <w:rPr>
                <w:rFonts w:hint="eastAsia" w:eastAsia="宋体"/>
                <w:sz w:val="21"/>
                <w:lang w:val="en-US" w:eastAsia="zh-CN"/>
              </w:rPr>
              <w:t>及备注</w:t>
            </w:r>
            <w:r>
              <w:rPr>
                <w:rFonts w:eastAsia="宋体"/>
                <w:sz w:val="21"/>
              </w:rPr>
              <w:t>的规定</w:t>
            </w:r>
          </w:p>
        </w:tc>
      </w:tr>
      <w:tr w14:paraId="52A6F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65C894C3">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6AF7B710">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4E23226D">
            <w:pPr>
              <w:pStyle w:val="20"/>
              <w:rPr>
                <w:rFonts w:eastAsia="宋体"/>
                <w:sz w:val="21"/>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4B7311A">
            <w:pPr>
              <w:pStyle w:val="20"/>
              <w:rPr>
                <w:rFonts w:eastAsia="宋体"/>
                <w:sz w:val="21"/>
              </w:rPr>
            </w:pPr>
            <w:r>
              <w:rPr>
                <w:rFonts w:hint="eastAsia" w:eastAsia="宋体"/>
                <w:sz w:val="21"/>
                <w:lang w:val="en-US" w:eastAsia="zh-CN"/>
              </w:rPr>
              <w:t>不得</w:t>
            </w:r>
            <w:r>
              <w:rPr>
                <w:rFonts w:hint="eastAsia" w:eastAsia="宋体"/>
                <w:sz w:val="21"/>
              </w:rPr>
              <w:t>存在的其他情形（一）</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5834B6">
            <w:pPr>
              <w:pStyle w:val="20"/>
              <w:rPr>
                <w:rFonts w:eastAsia="宋体"/>
                <w:sz w:val="21"/>
              </w:rPr>
            </w:pPr>
            <w:r>
              <w:rPr>
                <w:rFonts w:eastAsia="宋体"/>
                <w:sz w:val="21"/>
              </w:rPr>
              <w:t>不存在以下任一情形：</w:t>
            </w:r>
          </w:p>
          <w:p w14:paraId="3296795B">
            <w:pPr>
              <w:pStyle w:val="20"/>
              <w:rPr>
                <w:rFonts w:eastAsia="宋体"/>
                <w:sz w:val="21"/>
              </w:rPr>
            </w:pPr>
            <w:r>
              <w:rPr>
                <w:rFonts w:eastAsia="宋体"/>
                <w:sz w:val="21"/>
              </w:rPr>
              <w:t>（1）为招标人不具有独立法人资格的附属机构(单位)；</w:t>
            </w:r>
          </w:p>
          <w:p w14:paraId="15E5C4FF">
            <w:pPr>
              <w:pStyle w:val="20"/>
              <w:rPr>
                <w:rFonts w:eastAsia="宋体"/>
                <w:sz w:val="21"/>
              </w:rPr>
            </w:pPr>
            <w:r>
              <w:rPr>
                <w:rFonts w:eastAsia="宋体"/>
                <w:sz w:val="21"/>
              </w:rPr>
              <w:t>（2）与招标人存在利害关系且可能影响招标公正性；</w:t>
            </w:r>
          </w:p>
          <w:p w14:paraId="1D64C0FD">
            <w:pPr>
              <w:pStyle w:val="20"/>
              <w:rPr>
                <w:rFonts w:eastAsia="宋体"/>
                <w:sz w:val="21"/>
              </w:rPr>
            </w:pPr>
            <w:r>
              <w:rPr>
                <w:rFonts w:eastAsia="宋体"/>
                <w:sz w:val="21"/>
              </w:rPr>
              <w:t>（3）与本标段的其他投标人同为一个单位负责人</w:t>
            </w:r>
            <w:r>
              <w:rPr>
                <w:rFonts w:hint="eastAsia" w:eastAsia="宋体"/>
                <w:sz w:val="21"/>
              </w:rPr>
              <w:t>（即法定代表人）</w:t>
            </w:r>
            <w:r>
              <w:rPr>
                <w:rFonts w:eastAsia="宋体"/>
                <w:sz w:val="21"/>
              </w:rPr>
              <w:t>；</w:t>
            </w:r>
          </w:p>
          <w:p w14:paraId="5DE241E4">
            <w:pPr>
              <w:pStyle w:val="20"/>
              <w:rPr>
                <w:rFonts w:eastAsia="宋体"/>
                <w:sz w:val="21"/>
              </w:rPr>
            </w:pPr>
            <w:r>
              <w:rPr>
                <w:rFonts w:eastAsia="宋体"/>
                <w:sz w:val="21"/>
              </w:rPr>
              <w:t>（4）与本标段的其他投标人存在控股、管理关系；</w:t>
            </w:r>
          </w:p>
          <w:p w14:paraId="3224B8F4">
            <w:pPr>
              <w:pStyle w:val="31"/>
              <w:jc w:val="left"/>
              <w:rPr>
                <w:rStyle w:val="25"/>
                <w:rFonts w:ascii="宋体" w:hAnsi="宋体" w:eastAsia="宋体" w:cs="宋体"/>
                <w:b w:val="0"/>
                <w:sz w:val="21"/>
                <w:szCs w:val="24"/>
              </w:rPr>
            </w:pPr>
            <w:r>
              <w:rPr>
                <w:rFonts w:eastAsia="宋体"/>
                <w:sz w:val="21"/>
              </w:rPr>
              <w:t>（5）</w:t>
            </w:r>
            <w:r>
              <w:rPr>
                <w:rStyle w:val="25"/>
                <w:rFonts w:ascii="宋体" w:hAnsi="宋体" w:eastAsia="宋体" w:cs="宋体"/>
                <w:b w:val="0"/>
                <w:kern w:val="2"/>
                <w:sz w:val="21"/>
                <w:szCs w:val="24"/>
                <w:lang w:val="en-US" w:eastAsia="zh-CN"/>
              </w:rPr>
              <w:t>为本标段的代建人；</w:t>
            </w:r>
          </w:p>
          <w:p w14:paraId="275C7AEE">
            <w:pPr>
              <w:pStyle w:val="20"/>
              <w:rPr>
                <w:rFonts w:eastAsia="宋体"/>
                <w:sz w:val="21"/>
              </w:rPr>
            </w:pPr>
            <w:r>
              <w:rPr>
                <w:rStyle w:val="25"/>
                <w:rFonts w:ascii="宋体" w:hAnsi="宋体" w:eastAsia="宋体" w:cs="宋体"/>
                <w:b w:val="0"/>
                <w:kern w:val="2"/>
                <w:sz w:val="21"/>
                <w:szCs w:val="24"/>
                <w:lang w:val="en-US" w:eastAsia="zh-CN"/>
              </w:rPr>
              <w:t>（6）</w:t>
            </w:r>
            <w:r>
              <w:rPr>
                <w:rFonts w:eastAsia="宋体"/>
                <w:sz w:val="21"/>
              </w:rPr>
              <w:t>为本标段的招标代理机构；</w:t>
            </w:r>
          </w:p>
          <w:p w14:paraId="0564F618">
            <w:pPr>
              <w:pStyle w:val="20"/>
              <w:rPr>
                <w:rFonts w:eastAsia="宋体"/>
                <w:sz w:val="21"/>
              </w:rPr>
            </w:pPr>
            <w:r>
              <w:rPr>
                <w:rFonts w:eastAsia="宋体"/>
                <w:sz w:val="21"/>
              </w:rPr>
              <w:t>（</w:t>
            </w:r>
            <w:r>
              <w:rPr>
                <w:rFonts w:hint="eastAsia" w:eastAsia="宋体"/>
                <w:sz w:val="21"/>
                <w:lang w:val="en-US" w:eastAsia="zh-CN"/>
              </w:rPr>
              <w:t>7</w:t>
            </w:r>
            <w:r>
              <w:rPr>
                <w:rFonts w:eastAsia="宋体"/>
                <w:sz w:val="21"/>
              </w:rPr>
              <w:t>）与本标段的代建人或招标代理机构同为一个法定代表人；</w:t>
            </w:r>
          </w:p>
          <w:p w14:paraId="573DA940">
            <w:pPr>
              <w:pStyle w:val="20"/>
              <w:rPr>
                <w:rFonts w:hint="eastAsia" w:eastAsia="宋体"/>
                <w:sz w:val="21"/>
              </w:rPr>
            </w:pPr>
            <w:r>
              <w:rPr>
                <w:rFonts w:eastAsia="宋体"/>
                <w:sz w:val="21"/>
              </w:rPr>
              <w:t>（</w:t>
            </w:r>
            <w:r>
              <w:rPr>
                <w:rFonts w:hint="eastAsia" w:eastAsia="宋体"/>
                <w:sz w:val="21"/>
                <w:lang w:val="en-US" w:eastAsia="zh-CN"/>
              </w:rPr>
              <w:t>8</w:t>
            </w:r>
            <w:r>
              <w:rPr>
                <w:rFonts w:eastAsia="宋体"/>
                <w:sz w:val="21"/>
              </w:rPr>
              <w:t>）与本标段的代建人或招标代理机构存在控股或参股关系</w:t>
            </w:r>
            <w:r>
              <w:rPr>
                <w:rFonts w:hint="eastAsia" w:eastAsia="宋体"/>
                <w:sz w:val="21"/>
              </w:rPr>
              <w:t>；</w:t>
            </w:r>
          </w:p>
          <w:p w14:paraId="4EA9EAC0">
            <w:pPr>
              <w:pStyle w:val="20"/>
              <w:rPr>
                <w:rFonts w:eastAsia="宋体"/>
                <w:sz w:val="21"/>
              </w:rPr>
            </w:pPr>
            <w:r>
              <w:rPr>
                <w:rFonts w:hint="eastAsia" w:eastAsia="宋体"/>
                <w:sz w:val="21"/>
              </w:rPr>
              <w:t>（9）被依法暂停或取消招标项目所在地的投标资格且处于有效期内</w:t>
            </w:r>
            <w:r>
              <w:rPr>
                <w:rFonts w:hint="eastAsia" w:eastAsia="宋体"/>
                <w:sz w:val="21"/>
                <w:lang w:eastAsia="zh-CN"/>
              </w:rPr>
              <w:t>。</w:t>
            </w:r>
          </w:p>
        </w:tc>
      </w:tr>
      <w:tr w14:paraId="2B63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19DB04BA">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67258AF6">
            <w:pPr>
              <w:pStyle w:val="20"/>
              <w:jc w:val="center"/>
              <w:rPr>
                <w:rFonts w:eastAsia="宋体"/>
                <w:sz w:val="21"/>
              </w:rPr>
            </w:pPr>
          </w:p>
        </w:tc>
        <w:tc>
          <w:tcPr>
            <w:tcW w:w="783"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78DC8E05">
            <w:pPr>
              <w:pStyle w:val="20"/>
              <w:rPr>
                <w:rFonts w:hint="eastAsia" w:eastAsia="宋体"/>
                <w:sz w:val="21"/>
              </w:rPr>
            </w:pPr>
            <w:r>
              <w:rPr>
                <w:rFonts w:ascii="宋体" w:hAnsi="宋体" w:eastAsia="宋体" w:cs="宋体"/>
                <w:kern w:val="0"/>
                <w:sz w:val="21"/>
                <w:szCs w:val="24"/>
                <w:lang w:val="en-US" w:eastAsia="en-US" w:bidi="ar-SA"/>
              </w:rPr>
              <w:t>响应性评审</w:t>
            </w: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DE81D5B">
            <w:pPr>
              <w:pStyle w:val="20"/>
              <w:rPr>
                <w:rFonts w:eastAsia="宋体"/>
                <w:sz w:val="21"/>
              </w:rPr>
            </w:pPr>
            <w:r>
              <w:rPr>
                <w:rFonts w:eastAsia="宋体"/>
                <w:sz w:val="21"/>
              </w:rPr>
              <w:t>投标保证金</w:t>
            </w:r>
          </w:p>
          <w:p w14:paraId="00D59FA1">
            <w:pPr>
              <w:pStyle w:val="20"/>
              <w:rPr>
                <w:rFonts w:eastAsia="宋体"/>
                <w:sz w:val="21"/>
              </w:rPr>
            </w:pPr>
          </w:p>
        </w:tc>
        <w:tc>
          <w:tcPr>
            <w:tcW w:w="4027" w:type="dxa"/>
            <w:tcBorders>
              <w:top w:val="single" w:color="000000" w:sz="2" w:space="0"/>
              <w:left w:val="single" w:color="000000" w:sz="2" w:space="0"/>
              <w:right w:val="single" w:color="000000" w:sz="2" w:space="0"/>
            </w:tcBorders>
            <w:noWrap/>
            <w:tcMar>
              <w:top w:w="100" w:type="dxa"/>
              <w:bottom w:w="100" w:type="dxa"/>
            </w:tcMar>
            <w:vAlign w:val="center"/>
          </w:tcPr>
          <w:p w14:paraId="55DF84C2">
            <w:pPr>
              <w:pStyle w:val="20"/>
              <w:rPr>
                <w:rFonts w:hint="eastAsia" w:eastAsia="宋体"/>
                <w:sz w:val="21"/>
              </w:rPr>
            </w:pPr>
            <w:r>
              <w:rPr>
                <w:rFonts w:hint="eastAsia" w:eastAsia="宋体"/>
                <w:sz w:val="21"/>
              </w:rPr>
              <w:t>采用现金形式递交的：</w:t>
            </w:r>
          </w:p>
          <w:p w14:paraId="0E81AF39">
            <w:pPr>
              <w:pStyle w:val="20"/>
              <w:rPr>
                <w:rFonts w:hint="eastAsia" w:eastAsia="宋体"/>
                <w:sz w:val="21"/>
              </w:rPr>
            </w:pPr>
            <w:r>
              <w:rPr>
                <w:rFonts w:hint="eastAsia" w:eastAsia="宋体"/>
                <w:sz w:val="21"/>
              </w:rPr>
              <w:t>（1）投标保证金从投标人基本账户转出；</w:t>
            </w:r>
          </w:p>
          <w:p w14:paraId="48D87E54">
            <w:pPr>
              <w:pStyle w:val="20"/>
              <w:rPr>
                <w:rFonts w:hint="eastAsia" w:eastAsia="宋体"/>
                <w:sz w:val="21"/>
              </w:rPr>
            </w:pPr>
            <w:r>
              <w:rPr>
                <w:rFonts w:hint="eastAsia" w:eastAsia="宋体"/>
                <w:sz w:val="21"/>
              </w:rPr>
              <w:t>（2）投标保证金在投标截止时间前一次性足额汇至招标人指定的账户。</w:t>
            </w:r>
          </w:p>
          <w:p w14:paraId="7F886577">
            <w:pPr>
              <w:pStyle w:val="20"/>
              <w:rPr>
                <w:rFonts w:hint="eastAsia" w:eastAsia="宋体"/>
                <w:sz w:val="21"/>
              </w:rPr>
            </w:pPr>
            <w:r>
              <w:rPr>
                <w:rFonts w:hint="eastAsia" w:eastAsia="宋体"/>
                <w:sz w:val="21"/>
              </w:rPr>
              <w:t>采用电子银行保函、电子担保保函、电子保险保单方式递交的：</w:t>
            </w:r>
          </w:p>
          <w:p w14:paraId="5339B706">
            <w:pPr>
              <w:pStyle w:val="20"/>
              <w:rPr>
                <w:rFonts w:hint="eastAsia" w:eastAsia="宋体"/>
                <w:sz w:val="21"/>
              </w:rPr>
            </w:pPr>
            <w:r>
              <w:rPr>
                <w:rFonts w:hint="eastAsia" w:eastAsia="宋体"/>
                <w:sz w:val="21"/>
              </w:rPr>
              <w:t>（1）保函或保单受益人（招标人）、标段名称、标段编号、担保内容、担保金额、保函或保单有效期信息符合招标文件规定；</w:t>
            </w:r>
          </w:p>
          <w:p w14:paraId="58013300">
            <w:pPr>
              <w:pStyle w:val="20"/>
              <w:rPr>
                <w:rFonts w:eastAsia="宋体"/>
                <w:sz w:val="21"/>
              </w:rPr>
            </w:pPr>
            <w:r>
              <w:rPr>
                <w:rFonts w:hint="eastAsia" w:eastAsia="宋体"/>
                <w:sz w:val="21"/>
              </w:rPr>
              <w:t>（2）在投标截止时间前提交投标保证金。</w:t>
            </w:r>
          </w:p>
        </w:tc>
      </w:tr>
      <w:tr w14:paraId="1E47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trPr>
        <w:tc>
          <w:tcPr>
            <w:tcW w:w="677" w:type="dxa"/>
            <w:vMerge w:val="continue"/>
            <w:tcBorders>
              <w:left w:val="single" w:color="000000" w:sz="2" w:space="0"/>
              <w:right w:val="single" w:color="000000" w:sz="2" w:space="0"/>
            </w:tcBorders>
            <w:noWrap/>
            <w:tcMar>
              <w:top w:w="100" w:type="dxa"/>
              <w:bottom w:w="100" w:type="dxa"/>
            </w:tcMar>
            <w:vAlign w:val="center"/>
          </w:tcPr>
          <w:p w14:paraId="64D621CE">
            <w:pPr>
              <w:pStyle w:val="20"/>
              <w:jc w:val="center"/>
              <w:rPr>
                <w:rFonts w:eastAsia="宋体"/>
                <w:sz w:val="21"/>
              </w:rPr>
            </w:pPr>
          </w:p>
        </w:tc>
        <w:tc>
          <w:tcPr>
            <w:tcW w:w="992" w:type="dxa"/>
            <w:vMerge w:val="continue"/>
            <w:tcBorders>
              <w:left w:val="single" w:color="000000" w:sz="2" w:space="0"/>
              <w:right w:val="single" w:color="000000" w:sz="2" w:space="0"/>
            </w:tcBorders>
            <w:noWrap/>
            <w:tcMar>
              <w:top w:w="100" w:type="dxa"/>
              <w:bottom w:w="100" w:type="dxa"/>
            </w:tcMar>
            <w:vAlign w:val="center"/>
          </w:tcPr>
          <w:p w14:paraId="4394A86E">
            <w:pPr>
              <w:pStyle w:val="20"/>
              <w:jc w:val="center"/>
              <w:rPr>
                <w:rFonts w:eastAsia="宋体"/>
                <w:sz w:val="21"/>
              </w:rPr>
            </w:pPr>
          </w:p>
        </w:tc>
        <w:tc>
          <w:tcPr>
            <w:tcW w:w="783" w:type="dxa"/>
            <w:vMerge w:val="continue"/>
            <w:tcBorders>
              <w:left w:val="single" w:color="000000" w:sz="2" w:space="0"/>
              <w:right w:val="single" w:color="000000" w:sz="2" w:space="0"/>
            </w:tcBorders>
            <w:noWrap/>
            <w:tcMar>
              <w:top w:w="100" w:type="dxa"/>
              <w:bottom w:w="100" w:type="dxa"/>
            </w:tcMar>
            <w:vAlign w:val="center"/>
          </w:tcPr>
          <w:p w14:paraId="777E11C0">
            <w:pPr>
              <w:pStyle w:val="20"/>
              <w:rPr>
                <w:rFonts w:ascii="宋体" w:hAnsi="宋体" w:eastAsia="宋体" w:cs="宋体"/>
                <w:kern w:val="0"/>
                <w:sz w:val="21"/>
                <w:szCs w:val="24"/>
                <w:lang w:val="en-US" w:eastAsia="en-US" w:bidi="ar-SA"/>
              </w:rPr>
            </w:pPr>
          </w:p>
        </w:tc>
        <w:tc>
          <w:tcPr>
            <w:tcW w:w="154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864EC3E">
            <w:pPr>
              <w:pStyle w:val="20"/>
              <w:rPr>
                <w:rFonts w:eastAsia="宋体"/>
                <w:sz w:val="21"/>
              </w:rPr>
            </w:pPr>
            <w:r>
              <w:rPr>
                <w:rFonts w:eastAsia="宋体"/>
                <w:sz w:val="21"/>
                <w:highlight w:val="none"/>
              </w:rPr>
              <w:t>投标价格</w:t>
            </w:r>
          </w:p>
        </w:tc>
        <w:tc>
          <w:tcPr>
            <w:tcW w:w="4027" w:type="dxa"/>
            <w:tcBorders>
              <w:top w:val="single" w:color="000000" w:sz="2" w:space="0"/>
              <w:left w:val="single" w:color="000000" w:sz="2" w:space="0"/>
              <w:right w:val="single" w:color="000000" w:sz="2" w:space="0"/>
            </w:tcBorders>
            <w:noWrap/>
            <w:tcMar>
              <w:top w:w="100" w:type="dxa"/>
              <w:bottom w:w="100" w:type="dxa"/>
            </w:tcMar>
            <w:vAlign w:val="center"/>
          </w:tcPr>
          <w:p w14:paraId="44E50D47">
            <w:pPr>
              <w:pStyle w:val="31"/>
              <w:rPr>
                <w:rFonts w:hint="eastAsia" w:eastAsia="宋体"/>
                <w:sz w:val="21"/>
                <w:highlight w:val="none"/>
                <w:lang w:val="en-US" w:eastAsia="zh-CN"/>
              </w:rPr>
            </w:pPr>
            <w:r>
              <w:rPr>
                <w:rFonts w:hint="eastAsia" w:eastAsia="宋体"/>
                <w:sz w:val="21"/>
                <w:highlight w:val="none"/>
                <w:lang w:val="en-US" w:eastAsia="zh-CN"/>
              </w:rPr>
              <w:t>投标报价满足以下要求：</w:t>
            </w:r>
          </w:p>
          <w:p w14:paraId="59AA477F">
            <w:pPr>
              <w:pStyle w:val="31"/>
              <w:rPr>
                <w:rFonts w:hint="eastAsia" w:eastAsia="宋体"/>
                <w:sz w:val="21"/>
                <w:highlight w:val="none"/>
                <w:lang w:eastAsia="zh-CN"/>
              </w:rPr>
            </w:pPr>
            <w:r>
              <w:rPr>
                <w:rFonts w:hint="eastAsia" w:eastAsia="宋体"/>
                <w:sz w:val="21"/>
                <w:highlight w:val="none"/>
                <w:lang w:eastAsia="zh-CN"/>
              </w:rPr>
              <w:t>（</w:t>
            </w:r>
            <w:r>
              <w:rPr>
                <w:rFonts w:hint="eastAsia" w:eastAsia="宋体"/>
                <w:sz w:val="21"/>
                <w:highlight w:val="none"/>
                <w:lang w:val="en-US" w:eastAsia="zh-CN"/>
              </w:rPr>
              <w:t>1</w:t>
            </w:r>
            <w:r>
              <w:rPr>
                <w:rFonts w:hint="eastAsia" w:eastAsia="宋体"/>
                <w:sz w:val="21"/>
                <w:highlight w:val="none"/>
                <w:lang w:eastAsia="zh-CN"/>
              </w:rPr>
              <w:t>）</w:t>
            </w:r>
            <w:r>
              <w:rPr>
                <w:kern w:val="0"/>
                <w:sz w:val="21"/>
                <w:szCs w:val="21"/>
                <w:highlight w:val="none"/>
              </w:rPr>
              <w:t>投标人的</w:t>
            </w:r>
            <w:r>
              <w:rPr>
                <w:rFonts w:hint="eastAsia" w:eastAsia="宋体"/>
                <w:kern w:val="0"/>
                <w:sz w:val="21"/>
                <w:szCs w:val="21"/>
                <w:highlight w:val="none"/>
                <w:lang w:val="en-US" w:eastAsia="zh-CN"/>
              </w:rPr>
              <w:t>投标</w:t>
            </w:r>
            <w:r>
              <w:rPr>
                <w:kern w:val="0"/>
                <w:sz w:val="21"/>
                <w:szCs w:val="21"/>
                <w:highlight w:val="none"/>
              </w:rPr>
              <w:t>报价或算术错误修正后的投标报价（如有）</w:t>
            </w:r>
            <w:r>
              <w:rPr>
                <w:rFonts w:hint="eastAsia" w:eastAsia="宋体"/>
                <w:kern w:val="0"/>
                <w:sz w:val="21"/>
                <w:szCs w:val="21"/>
                <w:highlight w:val="none"/>
                <w:lang w:val="en-US" w:eastAsia="zh-CN"/>
              </w:rPr>
              <w:t>未</w:t>
            </w:r>
            <w:r>
              <w:rPr>
                <w:kern w:val="0"/>
                <w:sz w:val="21"/>
                <w:szCs w:val="21"/>
                <w:highlight w:val="none"/>
              </w:rPr>
              <w:t>超过本标段（包）最高投标限价</w:t>
            </w:r>
            <w:r>
              <w:rPr>
                <w:rFonts w:hint="eastAsia" w:eastAsia="宋体"/>
                <w:sz w:val="21"/>
                <w:highlight w:val="none"/>
                <w:lang w:eastAsia="zh-CN"/>
              </w:rPr>
              <w:t>；</w:t>
            </w:r>
          </w:p>
          <w:p w14:paraId="75FFF1E0">
            <w:pPr>
              <w:pStyle w:val="20"/>
              <w:rPr>
                <w:rFonts w:hint="eastAsia" w:eastAsia="宋体"/>
                <w:sz w:val="21"/>
              </w:rPr>
            </w:pPr>
            <w:r>
              <w:rPr>
                <w:rFonts w:hint="eastAsia"/>
                <w:kern w:val="0"/>
                <w:sz w:val="21"/>
                <w:szCs w:val="21"/>
                <w:highlight w:val="none"/>
              </w:rPr>
              <w:t>（</w:t>
            </w:r>
            <w:r>
              <w:rPr>
                <w:rFonts w:hint="eastAsia" w:eastAsia="宋体"/>
                <w:kern w:val="0"/>
                <w:sz w:val="21"/>
                <w:szCs w:val="21"/>
                <w:highlight w:val="none"/>
                <w:lang w:val="en-US" w:eastAsia="zh-CN"/>
              </w:rPr>
              <w:t>2</w:t>
            </w:r>
            <w:r>
              <w:rPr>
                <w:rFonts w:hint="eastAsia"/>
                <w:kern w:val="0"/>
                <w:sz w:val="21"/>
                <w:szCs w:val="21"/>
                <w:highlight w:val="none"/>
              </w:rPr>
              <w:t>）投标报价低于最高投标限价的65％且未按评标委员会要求说明并证明的</w:t>
            </w:r>
            <w:r>
              <w:rPr>
                <w:rFonts w:hint="eastAsia" w:eastAsia="宋体"/>
                <w:kern w:val="0"/>
                <w:sz w:val="21"/>
                <w:szCs w:val="21"/>
                <w:highlight w:val="none"/>
                <w:lang w:eastAsia="zh-CN"/>
              </w:rPr>
              <w:t>。</w:t>
            </w:r>
          </w:p>
        </w:tc>
      </w:tr>
      <w:tr w14:paraId="0A228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77"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158993F3">
            <w:pPr>
              <w:pStyle w:val="20"/>
              <w:jc w:val="center"/>
              <w:rPr>
                <w:rFonts w:eastAsia="宋体"/>
                <w:sz w:val="21"/>
              </w:rPr>
            </w:pPr>
          </w:p>
        </w:tc>
        <w:tc>
          <w:tcPr>
            <w:tcW w:w="992"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7DDDB2C0">
            <w:pPr>
              <w:pStyle w:val="20"/>
              <w:jc w:val="center"/>
              <w:rPr>
                <w:rFonts w:eastAsia="宋体"/>
                <w:sz w:val="21"/>
              </w:rPr>
            </w:pPr>
          </w:p>
        </w:tc>
        <w:tc>
          <w:tcPr>
            <w:tcW w:w="2331"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614BDD0">
            <w:pPr>
              <w:pStyle w:val="20"/>
              <w:rPr>
                <w:rFonts w:eastAsia="宋体"/>
                <w:sz w:val="21"/>
              </w:rPr>
            </w:pPr>
            <w:r>
              <w:rPr>
                <w:rFonts w:ascii="宋体" w:hAnsi="宋体" w:eastAsia="宋体" w:cs="宋体"/>
                <w:kern w:val="0"/>
                <w:sz w:val="21"/>
                <w:szCs w:val="24"/>
                <w:lang w:val="en-US" w:eastAsia="en-US" w:bidi="ar-SA"/>
              </w:rPr>
              <w:t>投标人不得存在的其他情形</w:t>
            </w:r>
          </w:p>
        </w:tc>
        <w:tc>
          <w:tcPr>
            <w:tcW w:w="4027"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57F4E93">
            <w:pPr>
              <w:pStyle w:val="20"/>
              <w:rPr>
                <w:rFonts w:hint="eastAsia" w:eastAsia="宋体"/>
                <w:sz w:val="21"/>
              </w:rPr>
            </w:pPr>
            <w:r>
              <w:rPr>
                <w:rFonts w:hint="eastAsia" w:eastAsia="宋体"/>
                <w:sz w:val="21"/>
              </w:rPr>
              <w:t>在本次招标活动中，投标人不得存在的其他情形：</w:t>
            </w:r>
          </w:p>
          <w:p w14:paraId="362CC39A">
            <w:pPr>
              <w:pStyle w:val="20"/>
              <w:rPr>
                <w:rFonts w:hint="eastAsia" w:eastAsia="宋体"/>
                <w:sz w:val="21"/>
              </w:rPr>
            </w:pPr>
            <w:r>
              <w:rPr>
                <w:rFonts w:hint="eastAsia" w:eastAsia="宋体"/>
                <w:sz w:val="21"/>
              </w:rPr>
              <w:t>（1）在本次招标活动中，存在串通投标、弄虚作假、行贿等违法行为的；</w:t>
            </w:r>
          </w:p>
          <w:p w14:paraId="1A7A42F5">
            <w:pPr>
              <w:pStyle w:val="20"/>
              <w:rPr>
                <w:rFonts w:hint="eastAsia" w:eastAsia="宋体"/>
                <w:sz w:val="21"/>
              </w:rPr>
            </w:pPr>
            <w:r>
              <w:rPr>
                <w:rFonts w:hint="eastAsia" w:eastAsia="宋体"/>
                <w:sz w:val="21"/>
              </w:rPr>
              <w:t>（2）在本次招标活动中，不按评标委员会要求澄清、说明或补正的；</w:t>
            </w:r>
          </w:p>
          <w:p w14:paraId="3AFD7832">
            <w:pPr>
              <w:pStyle w:val="20"/>
              <w:rPr>
                <w:rFonts w:hint="eastAsia" w:eastAsia="宋体"/>
                <w:sz w:val="21"/>
              </w:rPr>
            </w:pPr>
            <w:r>
              <w:rPr>
                <w:rFonts w:hint="eastAsia" w:eastAsia="宋体"/>
                <w:sz w:val="21"/>
              </w:rPr>
              <w:t>（3）在本次招标活动中，经湖北省公共资源交易平台评标系统检测出与其他投标人制作投标文件的文件创建标识码一致的；</w:t>
            </w:r>
          </w:p>
          <w:p w14:paraId="3FB185C8">
            <w:pPr>
              <w:pStyle w:val="20"/>
              <w:rPr>
                <w:rFonts w:hint="eastAsia" w:eastAsia="宋体"/>
                <w:sz w:val="21"/>
              </w:rPr>
            </w:pPr>
            <w:r>
              <w:rPr>
                <w:rFonts w:hint="eastAsia" w:eastAsia="宋体"/>
                <w:sz w:val="21"/>
              </w:rPr>
              <w:t>（4）在本次招标活动中，经湖北省公共资源交易平台评标系统检测出与其他投标人制作投标文件的件制作机器码一致的。</w:t>
            </w:r>
          </w:p>
        </w:tc>
      </w:tr>
      <w:bookmarkEnd w:id="263"/>
    </w:tbl>
    <w:p w14:paraId="3C804430">
      <w:pPr>
        <w:rPr>
          <w:rFonts w:ascii="Times New Roman" w:hAnsi="Times New Roman"/>
          <w:color w:val="000080"/>
          <w:sz w:val="20"/>
          <w:highlight w:val="white"/>
        </w:rPr>
      </w:pPr>
    </w:p>
    <w:p w14:paraId="7ED73A15">
      <w:pPr>
        <w:rPr>
          <w:rFonts w:ascii="Times New Roman" w:hAnsi="Times New Roman"/>
          <w:color w:val="000080"/>
          <w:sz w:val="20"/>
          <w:highlight w:val="yellow"/>
        </w:rPr>
      </w:pPr>
      <w:bookmarkStart w:id="264" w:name="EBc73b4413cd114e5794cb2c7a93233c92"/>
      <w:r>
        <w:rPr>
          <w:rFonts w:ascii="Times New Roman" w:hAnsi="Times New Roman"/>
          <w:color w:val="000080"/>
          <w:sz w:val="20"/>
          <w:highlight w:val="white"/>
        </w:rPr>
        <w:t xml:space="preserve"> </w:t>
      </w:r>
      <w:bookmarkEnd w:id="264"/>
    </w:p>
    <w:p w14:paraId="4CF070C1">
      <w:pPr>
        <w:rPr>
          <w:rFonts w:ascii="Times New Roman" w:hAnsi="Times New Roman"/>
          <w:highlight w:val="cyan"/>
        </w:rPr>
      </w:pPr>
      <w:bookmarkStart w:id="265" w:name="EBa6f6d542e1154897bdc46599c6d1213d"/>
      <w:r>
        <w:rPr>
          <w:rFonts w:ascii="Times New Roman" w:hAnsi="Times New Roman"/>
          <w:color w:val="000080"/>
          <w:sz w:val="20"/>
          <w:highlight w:val="white"/>
        </w:rPr>
        <w:t xml:space="preserve"> </w:t>
      </w:r>
      <w:bookmarkEnd w:id="265"/>
    </w:p>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39"/>
        <w:gridCol w:w="2052"/>
        <w:gridCol w:w="4429"/>
      </w:tblGrid>
      <w:tr w14:paraId="0F89C9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1739" w:type="dxa"/>
            <w:tcBorders>
              <w:bottom w:val="single" w:color="auto" w:sz="4" w:space="0"/>
              <w:right w:val="single" w:color="auto" w:sz="4" w:space="0"/>
            </w:tcBorders>
            <w:noWrap/>
            <w:vAlign w:val="center"/>
          </w:tcPr>
          <w:p w14:paraId="5301B0F8">
            <w:pPr>
              <w:widowControl w:val="0"/>
              <w:spacing w:line="440" w:lineRule="exact"/>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条款号</w:t>
            </w:r>
          </w:p>
        </w:tc>
        <w:tc>
          <w:tcPr>
            <w:tcW w:w="2052" w:type="dxa"/>
            <w:tcBorders>
              <w:top w:val="single" w:color="auto" w:sz="4" w:space="0"/>
              <w:left w:val="single" w:color="auto" w:sz="4" w:space="0"/>
              <w:right w:val="single" w:color="auto" w:sz="4" w:space="0"/>
            </w:tcBorders>
            <w:noWrap/>
            <w:vAlign w:val="center"/>
          </w:tcPr>
          <w:p w14:paraId="4296E519">
            <w:pPr>
              <w:widowControl w:val="0"/>
              <w:spacing w:line="440" w:lineRule="exact"/>
              <w:ind w:firstLine="0" w:firstLineChars="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条款内容</w:t>
            </w:r>
          </w:p>
        </w:tc>
        <w:tc>
          <w:tcPr>
            <w:tcW w:w="4429" w:type="dxa"/>
            <w:tcBorders>
              <w:top w:val="single" w:color="auto" w:sz="4" w:space="0"/>
              <w:left w:val="single" w:color="auto" w:sz="4" w:space="0"/>
              <w:right w:val="single" w:color="auto" w:sz="4" w:space="0"/>
            </w:tcBorders>
            <w:noWrap/>
            <w:vAlign w:val="center"/>
          </w:tcPr>
          <w:p w14:paraId="4968FC0D">
            <w:pPr>
              <w:widowControl w:val="0"/>
              <w:spacing w:line="440" w:lineRule="exact"/>
              <w:ind w:firstLine="0" w:firstLineChars="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highlight w:val="white"/>
                <w:lang w:val="en-US" w:eastAsia="zh-CN" w:bidi="ar-SA"/>
              </w:rPr>
              <w:t>编列内容</w:t>
            </w:r>
          </w:p>
        </w:tc>
      </w:tr>
      <w:tr w14:paraId="44A296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0" w:hRule="atLeast"/>
          <w:jc w:val="center"/>
        </w:trPr>
        <w:tc>
          <w:tcPr>
            <w:tcW w:w="1739" w:type="dxa"/>
            <w:tcBorders>
              <w:bottom w:val="single" w:color="auto" w:sz="4" w:space="0"/>
              <w:right w:val="single" w:color="auto" w:sz="4" w:space="0"/>
            </w:tcBorders>
            <w:noWrap/>
            <w:vAlign w:val="center"/>
          </w:tcPr>
          <w:p w14:paraId="3AEC4584">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2.2.1</w:t>
            </w:r>
          </w:p>
        </w:tc>
        <w:tc>
          <w:tcPr>
            <w:tcW w:w="2052" w:type="dxa"/>
            <w:tcBorders>
              <w:top w:val="single" w:color="auto" w:sz="4" w:space="0"/>
              <w:left w:val="single" w:color="auto" w:sz="4" w:space="0"/>
              <w:right w:val="single" w:color="auto" w:sz="4" w:space="0"/>
            </w:tcBorders>
            <w:noWrap/>
            <w:vAlign w:val="center"/>
          </w:tcPr>
          <w:p w14:paraId="06676A45">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分值构成</w:t>
            </w:r>
          </w:p>
          <w:p w14:paraId="5B78D11F">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(总分</w:t>
            </w:r>
            <w:r>
              <w:rPr>
                <w:rFonts w:hint="eastAsia" w:ascii="Times New Roman" w:hAnsi="Times New Roman" w:eastAsia="宋体" w:cs="Times New Roman"/>
                <w:color w:val="0000FF"/>
                <w:kern w:val="2"/>
                <w:sz w:val="21"/>
                <w:szCs w:val="21"/>
                <w:highlight w:val="none"/>
                <w:lang w:val="en-US" w:eastAsia="zh-CN" w:bidi="ar-SA"/>
              </w:rPr>
              <w:t>100</w:t>
            </w:r>
            <w:r>
              <w:rPr>
                <w:rFonts w:ascii="Times New Roman" w:hAnsi="Times New Roman" w:eastAsia="宋体" w:cs="Times New Roman"/>
                <w:kern w:val="2"/>
                <w:sz w:val="21"/>
                <w:szCs w:val="21"/>
                <w:highlight w:val="none"/>
                <w:lang w:val="en-US" w:eastAsia="zh-CN" w:bidi="ar-SA"/>
              </w:rPr>
              <w:t>分)</w:t>
            </w:r>
          </w:p>
        </w:tc>
        <w:tc>
          <w:tcPr>
            <w:tcW w:w="4429" w:type="dxa"/>
            <w:tcBorders>
              <w:top w:val="single" w:color="auto" w:sz="4" w:space="0"/>
              <w:left w:val="single" w:color="auto" w:sz="4" w:space="0"/>
              <w:right w:val="single" w:color="auto" w:sz="4" w:space="0"/>
            </w:tcBorders>
            <w:noWrap/>
            <w:vAlign w:val="center"/>
          </w:tcPr>
          <w:p w14:paraId="3C672397">
            <w:pPr>
              <w:widowControl w:val="0"/>
              <w:spacing w:line="440" w:lineRule="exact"/>
              <w:ind w:firstLine="0" w:firstLineChars="0"/>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资信业绩部分：</w:t>
            </w:r>
            <w:r>
              <w:rPr>
                <w:rFonts w:ascii="Times New Roman" w:hAnsi="Times New Roman" w:eastAsia="宋体" w:cs="Times New Roman"/>
                <w:color w:val="0000FF"/>
                <w:kern w:val="2"/>
                <w:sz w:val="21"/>
                <w:szCs w:val="21"/>
                <w:highlight w:val="none"/>
                <w:lang w:val="en-US" w:eastAsia="zh-CN" w:bidi="ar-SA"/>
              </w:rPr>
              <w:t>50</w:t>
            </w:r>
            <w:r>
              <w:rPr>
                <w:rFonts w:ascii="Times New Roman" w:hAnsi="Times New Roman" w:eastAsia="宋体" w:cs="Times New Roman"/>
                <w:kern w:val="2"/>
                <w:sz w:val="21"/>
                <w:szCs w:val="21"/>
                <w:highlight w:val="none"/>
                <w:lang w:val="en-US" w:eastAsia="zh-CN" w:bidi="ar-SA"/>
              </w:rPr>
              <w:t>分</w:t>
            </w:r>
          </w:p>
          <w:p w14:paraId="265AAC0C">
            <w:pPr>
              <w:widowControl w:val="0"/>
              <w:spacing w:line="440" w:lineRule="exact"/>
              <w:ind w:firstLine="0" w:firstLineChars="0"/>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技术建议书部分：</w:t>
            </w:r>
            <w:r>
              <w:rPr>
                <w:rFonts w:ascii="Times New Roman" w:hAnsi="Times New Roman" w:eastAsia="宋体" w:cs="Times New Roman"/>
                <w:color w:val="0000FF"/>
                <w:kern w:val="2"/>
                <w:sz w:val="21"/>
                <w:szCs w:val="21"/>
                <w:highlight w:val="none"/>
                <w:lang w:val="en-US" w:eastAsia="zh-CN" w:bidi="ar-SA"/>
              </w:rPr>
              <w:t>40</w:t>
            </w:r>
            <w:r>
              <w:rPr>
                <w:rFonts w:ascii="Times New Roman" w:hAnsi="Times New Roman" w:eastAsia="宋体" w:cs="Times New Roman"/>
                <w:kern w:val="2"/>
                <w:sz w:val="21"/>
                <w:szCs w:val="21"/>
                <w:highlight w:val="none"/>
                <w:lang w:val="en-US" w:eastAsia="zh-CN" w:bidi="ar-SA"/>
              </w:rPr>
              <w:t>分</w:t>
            </w:r>
          </w:p>
          <w:p w14:paraId="08D950D5">
            <w:pPr>
              <w:widowControl w:val="0"/>
              <w:spacing w:line="440" w:lineRule="exact"/>
              <w:ind w:firstLine="0" w:firstLineChars="0"/>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投标报价：</w:t>
            </w:r>
            <w:r>
              <w:rPr>
                <w:rFonts w:ascii="Times New Roman" w:hAnsi="Times New Roman" w:eastAsia="宋体" w:cs="Times New Roman"/>
                <w:color w:val="0000FF"/>
                <w:kern w:val="2"/>
                <w:sz w:val="21"/>
                <w:szCs w:val="21"/>
                <w:highlight w:val="none"/>
                <w:lang w:val="en-US" w:eastAsia="zh-CN" w:bidi="ar-SA"/>
              </w:rPr>
              <w:t>10</w:t>
            </w:r>
            <w:r>
              <w:rPr>
                <w:rFonts w:ascii="Times New Roman" w:hAnsi="Times New Roman" w:eastAsia="宋体" w:cs="Times New Roman"/>
                <w:kern w:val="2"/>
                <w:sz w:val="21"/>
                <w:szCs w:val="21"/>
                <w:highlight w:val="none"/>
                <w:lang w:val="en-US" w:eastAsia="zh-CN" w:bidi="ar-SA"/>
              </w:rPr>
              <w:t>分</w:t>
            </w:r>
          </w:p>
          <w:p w14:paraId="08FD2A32">
            <w:pPr>
              <w:widowControl w:val="0"/>
              <w:spacing w:line="440" w:lineRule="exact"/>
              <w:ind w:firstLine="0" w:firstLineChars="0"/>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其他评分因素：</w:t>
            </w:r>
            <w:r>
              <w:rPr>
                <w:rFonts w:ascii="Times New Roman" w:hAnsi="Times New Roman" w:eastAsia="宋体" w:cs="Times New Roman"/>
                <w:color w:val="0000FF"/>
                <w:kern w:val="2"/>
                <w:sz w:val="21"/>
                <w:szCs w:val="21"/>
                <w:highlight w:val="none"/>
                <w:lang w:val="en-US" w:eastAsia="zh-CN" w:bidi="ar-SA"/>
              </w:rPr>
              <w:t>0</w:t>
            </w:r>
            <w:r>
              <w:rPr>
                <w:rFonts w:ascii="Times New Roman" w:hAnsi="Times New Roman" w:eastAsia="宋体" w:cs="Times New Roman"/>
                <w:kern w:val="2"/>
                <w:sz w:val="21"/>
                <w:szCs w:val="21"/>
                <w:highlight w:val="none"/>
                <w:lang w:val="en-US" w:eastAsia="zh-CN" w:bidi="ar-SA"/>
              </w:rPr>
              <w:t>分</w:t>
            </w:r>
          </w:p>
        </w:tc>
      </w:tr>
      <w:tr w14:paraId="7E0E9F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1" w:hRule="atLeast"/>
          <w:jc w:val="center"/>
        </w:trPr>
        <w:tc>
          <w:tcPr>
            <w:tcW w:w="1739" w:type="dxa"/>
            <w:tcBorders>
              <w:bottom w:val="single" w:color="auto" w:sz="4" w:space="0"/>
              <w:right w:val="single" w:color="auto" w:sz="4" w:space="0"/>
            </w:tcBorders>
            <w:noWrap/>
            <w:vAlign w:val="center"/>
          </w:tcPr>
          <w:p w14:paraId="659BFDDD">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2.2.2</w:t>
            </w:r>
          </w:p>
        </w:tc>
        <w:tc>
          <w:tcPr>
            <w:tcW w:w="2052" w:type="dxa"/>
            <w:tcBorders>
              <w:top w:val="single" w:color="auto" w:sz="4" w:space="0"/>
              <w:left w:val="single" w:color="auto" w:sz="4" w:space="0"/>
              <w:right w:val="single" w:color="auto" w:sz="4" w:space="0"/>
            </w:tcBorders>
            <w:noWrap/>
            <w:vAlign w:val="center"/>
          </w:tcPr>
          <w:p w14:paraId="466D00B9">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评标基准价计算方法</w:t>
            </w:r>
          </w:p>
        </w:tc>
        <w:tc>
          <w:tcPr>
            <w:tcW w:w="4429" w:type="dxa"/>
            <w:tcBorders>
              <w:top w:val="single" w:color="auto" w:sz="4" w:space="0"/>
              <w:left w:val="single" w:color="auto" w:sz="4" w:space="0"/>
              <w:right w:val="single" w:color="auto" w:sz="4" w:space="0"/>
            </w:tcBorders>
            <w:noWrap/>
            <w:vAlign w:val="center"/>
          </w:tcPr>
          <w:p w14:paraId="3820376C">
            <w:pPr>
              <w:widowControl w:val="0"/>
              <w:spacing w:line="440" w:lineRule="exact"/>
              <w:ind w:firstLine="0" w:firstLineChars="0"/>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color w:val="0000FF"/>
                <w:szCs w:val="21"/>
                <w:highlight w:val="none"/>
              </w:rPr>
              <w:t>（1）评标价的确定：评标价＝投标函中的投标总报价； （2）评标基准价的确定：所有通过初步评审且评标价不低于最高投标限价 85%的投标人的评标价的算术平均值。 （3）第一次评标结束，经评标委员会确认后的评标基准价在本次招标投标有效期内保持不变，不随任何因素发生变化。 注：评标结束是指评标委员会提交评标报告并点击电子交易平台评标系统中“评标结束”按钮。</w:t>
            </w:r>
          </w:p>
        </w:tc>
      </w:tr>
      <w:tr w14:paraId="1F660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1739" w:type="dxa"/>
            <w:tcBorders>
              <w:bottom w:val="single" w:color="auto" w:sz="4" w:space="0"/>
              <w:right w:val="single" w:color="auto" w:sz="4" w:space="0"/>
            </w:tcBorders>
            <w:noWrap/>
            <w:vAlign w:val="center"/>
          </w:tcPr>
          <w:p w14:paraId="69EA1EA8">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2.2.3</w:t>
            </w:r>
          </w:p>
        </w:tc>
        <w:tc>
          <w:tcPr>
            <w:tcW w:w="2052" w:type="dxa"/>
            <w:tcBorders>
              <w:top w:val="single" w:color="auto" w:sz="4" w:space="0"/>
              <w:left w:val="single" w:color="auto" w:sz="4" w:space="0"/>
              <w:right w:val="single" w:color="auto" w:sz="4" w:space="0"/>
            </w:tcBorders>
            <w:noWrap/>
            <w:vAlign w:val="center"/>
          </w:tcPr>
          <w:p w14:paraId="04AA3DD3">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投标报价的偏差率</w:t>
            </w:r>
          </w:p>
          <w:p w14:paraId="24A39FCC">
            <w:pPr>
              <w:widowControl w:val="0"/>
              <w:spacing w:line="440" w:lineRule="exact"/>
              <w:ind w:firstLine="0" w:firstLineChars="0"/>
              <w:jc w:val="center"/>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计算公式</w:t>
            </w:r>
          </w:p>
        </w:tc>
        <w:tc>
          <w:tcPr>
            <w:tcW w:w="4429" w:type="dxa"/>
            <w:tcBorders>
              <w:top w:val="single" w:color="auto" w:sz="4" w:space="0"/>
              <w:left w:val="single" w:color="auto" w:sz="4" w:space="0"/>
              <w:right w:val="single" w:color="auto" w:sz="4" w:space="0"/>
            </w:tcBorders>
            <w:noWrap/>
            <w:vAlign w:val="center"/>
          </w:tcPr>
          <w:p w14:paraId="19CA1E98">
            <w:pPr>
              <w:widowControl w:val="0"/>
              <w:spacing w:line="440" w:lineRule="exact"/>
              <w:ind w:firstLine="0" w:firstLineChars="0"/>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color w:val="0000FF"/>
                <w:kern w:val="2"/>
                <w:sz w:val="21"/>
                <w:szCs w:val="21"/>
                <w:highlight w:val="none"/>
                <w:lang w:val="en-US" w:eastAsia="zh-CN" w:bidi="ar-SA"/>
              </w:rPr>
              <w:t>偏差率=100% ×(投标人评标价－评标基准价)/评标基准价</w:t>
            </w:r>
          </w:p>
        </w:tc>
      </w:tr>
    </w:tbl>
    <w:p w14:paraId="3059DEF6">
      <w:pPr>
        <w:rPr>
          <w:rFonts w:ascii="Times New Roman" w:hAnsi="Times New Roman"/>
          <w:color w:val="000080"/>
          <w:sz w:val="20"/>
          <w:highlight w:val="none"/>
        </w:rPr>
      </w:pPr>
      <w:bookmarkStart w:id="266" w:name="EB1b299e78ea7149dc8fb4786bd7e95979"/>
      <w:r>
        <w:rPr>
          <w:rFonts w:ascii="Times New Roman" w:hAnsi="Times New Roman"/>
          <w:color w:val="000080"/>
          <w:sz w:val="20"/>
          <w:highlight w:val="none"/>
        </w:rPr>
        <w:t xml:space="preserve"> </w:t>
      </w:r>
      <w:bookmarkEnd w:id="266"/>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691"/>
        <w:gridCol w:w="1170"/>
        <w:gridCol w:w="5975"/>
      </w:tblGrid>
      <w:tr w14:paraId="43D9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49F3F1">
            <w:pPr>
              <w:pStyle w:val="31"/>
              <w:spacing w:line="360" w:lineRule="auto"/>
              <w:jc w:val="center"/>
              <w:rPr>
                <w:rFonts w:eastAsia="宋体"/>
                <w:sz w:val="21"/>
                <w:highlight w:val="none"/>
              </w:rPr>
            </w:pPr>
            <w:bookmarkStart w:id="267" w:name="EB1a51dfc302764d5cadb5e69d5e6773be"/>
            <w:r>
              <w:rPr>
                <w:rFonts w:eastAsia="宋体"/>
                <w:sz w:val="21"/>
                <w:highlight w:val="none"/>
              </w:rPr>
              <w:t>条款号</w:t>
            </w: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11E2C9">
            <w:pPr>
              <w:pStyle w:val="31"/>
              <w:spacing w:line="360" w:lineRule="auto"/>
              <w:rPr>
                <w:rFonts w:eastAsia="宋体"/>
                <w:sz w:val="21"/>
                <w:highlight w:val="none"/>
              </w:rPr>
            </w:pPr>
            <w:r>
              <w:rPr>
                <w:rFonts w:eastAsia="宋体"/>
                <w:sz w:val="21"/>
                <w:highlight w:val="none"/>
              </w:rPr>
              <w:t>评审因素</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8CF626">
            <w:pPr>
              <w:pStyle w:val="31"/>
              <w:spacing w:line="360" w:lineRule="auto"/>
              <w:jc w:val="center"/>
              <w:rPr>
                <w:rFonts w:eastAsia="宋体"/>
                <w:sz w:val="21"/>
                <w:highlight w:val="none"/>
              </w:rPr>
            </w:pPr>
            <w:r>
              <w:rPr>
                <w:rFonts w:eastAsia="宋体"/>
                <w:sz w:val="21"/>
                <w:highlight w:val="none"/>
              </w:rPr>
              <w:t>评审标准</w:t>
            </w:r>
          </w:p>
        </w:tc>
      </w:tr>
      <w:tr w14:paraId="3F3A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33BC4D">
            <w:pPr>
              <w:pStyle w:val="31"/>
              <w:spacing w:line="360" w:lineRule="auto"/>
              <w:jc w:val="center"/>
              <w:rPr>
                <w:rFonts w:eastAsia="宋体"/>
                <w:sz w:val="21"/>
                <w:highlight w:val="none"/>
              </w:rPr>
            </w:pPr>
            <w:r>
              <w:rPr>
                <w:rFonts w:eastAsia="宋体"/>
                <w:sz w:val="21"/>
                <w:highlight w:val="none"/>
              </w:rPr>
              <w:t>2.2.4（1）</w:t>
            </w:r>
          </w:p>
        </w:tc>
        <w:tc>
          <w:tcPr>
            <w:tcW w:w="691"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F172E2">
            <w:pPr>
              <w:pStyle w:val="31"/>
              <w:spacing w:line="360" w:lineRule="auto"/>
              <w:jc w:val="center"/>
              <w:rPr>
                <w:rFonts w:eastAsia="宋体"/>
                <w:sz w:val="21"/>
                <w:highlight w:val="none"/>
              </w:rPr>
            </w:pPr>
            <w:r>
              <w:rPr>
                <w:rFonts w:eastAsia="宋体"/>
                <w:sz w:val="21"/>
                <w:highlight w:val="none"/>
              </w:rPr>
              <w:t>资信业绩评分标准</w:t>
            </w: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B6BC47">
            <w:pPr>
              <w:pStyle w:val="31"/>
              <w:spacing w:line="360" w:lineRule="auto"/>
              <w:rPr>
                <w:rFonts w:eastAsia="宋体"/>
                <w:sz w:val="21"/>
                <w:highlight w:val="none"/>
              </w:rPr>
            </w:pPr>
            <w:r>
              <w:rPr>
                <w:rFonts w:eastAsia="宋体"/>
                <w:sz w:val="21"/>
                <w:highlight w:val="none"/>
              </w:rPr>
              <w:t>业绩与信誉（</w:t>
            </w:r>
            <w:r>
              <w:rPr>
                <w:rFonts w:hint="eastAsia" w:eastAsia="宋体"/>
                <w:sz w:val="21"/>
                <w:highlight w:val="none"/>
                <w:lang w:val="en-US" w:eastAsia="zh-CN"/>
              </w:rPr>
              <w:t>30</w:t>
            </w:r>
            <w:r>
              <w:rPr>
                <w:rFonts w:eastAsia="宋体"/>
                <w:sz w:val="21"/>
                <w:highlight w:val="none"/>
              </w:rPr>
              <w:t>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85DD60">
            <w:pPr>
              <w:pStyle w:val="31"/>
              <w:spacing w:line="360" w:lineRule="auto"/>
              <w:rPr>
                <w:rFonts w:eastAsia="宋体"/>
                <w:sz w:val="21"/>
                <w:highlight w:val="none"/>
              </w:rPr>
            </w:pPr>
            <w:r>
              <w:rPr>
                <w:rFonts w:eastAsia="宋体"/>
                <w:sz w:val="21"/>
                <w:highlight w:val="none"/>
              </w:rPr>
              <w:t>a.满足资格审查要求的，得基本分1</w:t>
            </w:r>
            <w:r>
              <w:rPr>
                <w:rFonts w:hint="eastAsia" w:eastAsia="宋体"/>
                <w:sz w:val="21"/>
                <w:highlight w:val="none"/>
                <w:lang w:val="en-US" w:eastAsia="zh-CN"/>
              </w:rPr>
              <w:t>8</w:t>
            </w:r>
            <w:r>
              <w:rPr>
                <w:rFonts w:eastAsia="宋体"/>
                <w:sz w:val="21"/>
                <w:highlight w:val="none"/>
              </w:rPr>
              <w:t>分；</w:t>
            </w:r>
          </w:p>
          <w:p w14:paraId="53DED638">
            <w:pPr>
              <w:pStyle w:val="31"/>
              <w:spacing w:line="360" w:lineRule="auto"/>
              <w:rPr>
                <w:rFonts w:eastAsia="宋体"/>
                <w:sz w:val="21"/>
                <w:highlight w:val="none"/>
              </w:rPr>
            </w:pPr>
            <w:r>
              <w:rPr>
                <w:rFonts w:ascii="Times New Roman" w:hAnsi="Times New Roman" w:eastAsia="宋体" w:cs="Times New Roman"/>
                <w:sz w:val="21"/>
                <w:highlight w:val="none"/>
              </w:rPr>
              <w:t>b.在满足资格审查要求基础上，每增加</w:t>
            </w:r>
            <w:r>
              <w:rPr>
                <w:rFonts w:hint="default" w:ascii="Times New Roman" w:hAnsi="Times New Roman" w:eastAsia="宋体" w:cs="Times New Roman"/>
                <w:sz w:val="21"/>
                <w:highlight w:val="none"/>
              </w:rPr>
              <w:t>1个</w:t>
            </w:r>
            <w:r>
              <w:rPr>
                <w:rFonts w:hint="eastAsia" w:ascii="Times New Roman" w:hAnsi="Times New Roman" w:eastAsia="宋体" w:cs="Times New Roman"/>
                <w:sz w:val="21"/>
                <w:highlight w:val="none"/>
                <w:lang w:val="en-US" w:eastAsia="zh-CN"/>
              </w:rPr>
              <w:t>高速公路项目</w:t>
            </w:r>
            <w:r>
              <w:rPr>
                <w:rFonts w:hint="eastAsia" w:ascii="Times New Roman" w:hAnsi="Times New Roman" w:eastAsia="宋体" w:cs="Times New Roman"/>
                <w:sz w:val="21"/>
                <w:szCs w:val="24"/>
                <w:highlight w:val="none"/>
                <w:lang w:val="en-US" w:eastAsia="zh-CN"/>
              </w:rPr>
              <w:t>高边坡</w:t>
            </w:r>
            <w:r>
              <w:rPr>
                <w:rFonts w:hint="default" w:ascii="Times New Roman" w:hAnsi="Times New Roman" w:eastAsia="宋体" w:cs="Times New Roman"/>
                <w:sz w:val="21"/>
                <w:szCs w:val="24"/>
                <w:highlight w:val="none"/>
              </w:rPr>
              <w:t>监测项目</w:t>
            </w:r>
            <w:r>
              <w:rPr>
                <w:rFonts w:hint="eastAsia" w:ascii="Times New Roman" w:hAnsi="Times New Roman" w:eastAsia="宋体" w:cs="Times New Roman"/>
                <w:sz w:val="21"/>
                <w:szCs w:val="24"/>
                <w:highlight w:val="none"/>
                <w:lang w:val="en-US" w:eastAsia="zh-CN"/>
              </w:rPr>
              <w:t>业绩</w:t>
            </w:r>
            <w:r>
              <w:rPr>
                <w:rFonts w:hint="default" w:ascii="Times New Roman" w:hAnsi="Times New Roman" w:eastAsia="宋体" w:cs="Times New Roman"/>
                <w:sz w:val="21"/>
                <w:szCs w:val="24"/>
                <w:highlight w:val="none"/>
              </w:rPr>
              <w:t>（</w:t>
            </w:r>
            <w:r>
              <w:rPr>
                <w:rFonts w:ascii="Times New Roman" w:hAnsi="Times New Roman" w:eastAsia="宋体" w:cs="Times New Roman"/>
                <w:sz w:val="21"/>
                <w:highlight w:val="none"/>
              </w:rPr>
              <w:t>不限年限)加</w:t>
            </w:r>
            <w:r>
              <w:rPr>
                <w:rFonts w:hint="eastAsia" w:ascii="Times New Roman" w:hAnsi="Times New Roman" w:eastAsia="宋体" w:cs="Times New Roman"/>
                <w:sz w:val="21"/>
                <w:highlight w:val="none"/>
                <w:lang w:val="en-US" w:eastAsia="zh-CN"/>
              </w:rPr>
              <w:t>3</w:t>
            </w:r>
            <w:r>
              <w:rPr>
                <w:rFonts w:ascii="Times New Roman" w:hAnsi="Times New Roman" w:eastAsia="宋体" w:cs="Times New Roman"/>
                <w:sz w:val="21"/>
                <w:highlight w:val="none"/>
              </w:rPr>
              <w:t>分，</w:t>
            </w:r>
            <w:r>
              <w:rPr>
                <w:rFonts w:eastAsia="宋体"/>
                <w:sz w:val="21"/>
                <w:highlight w:val="none"/>
              </w:rPr>
              <w:t>本项最多加</w:t>
            </w:r>
            <w:r>
              <w:rPr>
                <w:rFonts w:hint="eastAsia" w:eastAsia="宋体"/>
                <w:sz w:val="21"/>
                <w:highlight w:val="none"/>
                <w:lang w:val="en-US" w:eastAsia="zh-CN"/>
              </w:rPr>
              <w:t>12</w:t>
            </w:r>
            <w:r>
              <w:rPr>
                <w:rFonts w:eastAsia="宋体"/>
                <w:sz w:val="21"/>
                <w:highlight w:val="none"/>
              </w:rPr>
              <w:t>分；</w:t>
            </w:r>
          </w:p>
          <w:p w14:paraId="7A694902">
            <w:pPr>
              <w:pStyle w:val="31"/>
              <w:numPr>
                <w:ilvl w:val="0"/>
                <w:numId w:val="0"/>
              </w:numPr>
              <w:spacing w:line="360" w:lineRule="auto"/>
              <w:rPr>
                <w:rFonts w:eastAsia="宋体"/>
                <w:sz w:val="21"/>
                <w:highlight w:val="none"/>
              </w:rPr>
            </w:pPr>
            <w:r>
              <w:rPr>
                <w:rFonts w:hint="eastAsia" w:eastAsia="宋体"/>
                <w:sz w:val="21"/>
                <w:highlight w:val="none"/>
                <w:lang w:val="en-US" w:eastAsia="zh-CN"/>
              </w:rPr>
              <w:t>注：1、</w:t>
            </w:r>
            <w:r>
              <w:rPr>
                <w:rFonts w:hint="eastAsia" w:eastAsia="宋体"/>
                <w:sz w:val="21"/>
                <w:highlight w:val="none"/>
              </w:rPr>
              <w:t>边坡监测项目</w:t>
            </w:r>
            <w:r>
              <w:rPr>
                <w:rFonts w:eastAsia="宋体"/>
                <w:sz w:val="21"/>
                <w:highlight w:val="none"/>
              </w:rPr>
              <w:t>加分业绩证明材料要求同“附录2”注释</w:t>
            </w:r>
            <w:r>
              <w:rPr>
                <w:rFonts w:hint="eastAsia" w:eastAsia="宋体"/>
                <w:sz w:val="21"/>
                <w:highlight w:val="none"/>
                <w:lang w:eastAsia="zh-CN"/>
              </w:rPr>
              <w:t>；</w:t>
            </w:r>
            <w:r>
              <w:rPr>
                <w:rFonts w:hint="eastAsia" w:eastAsia="宋体"/>
                <w:sz w:val="21"/>
                <w:szCs w:val="24"/>
                <w:lang w:val="en-US" w:eastAsia="zh-CN"/>
              </w:rPr>
              <w:t>2、一个合同协议书中包含多条高速公路的高边坡监测项目的只作为一项高边坡监测项目业绩进行认定</w:t>
            </w:r>
            <w:r>
              <w:rPr>
                <w:rFonts w:hint="eastAsia" w:eastAsia="宋体"/>
                <w:sz w:val="21"/>
                <w:highlight w:val="none"/>
                <w:lang w:val="en-US" w:eastAsia="zh-CN"/>
              </w:rPr>
              <w:t>；</w:t>
            </w:r>
            <w:r>
              <w:rPr>
                <w:rFonts w:eastAsia="宋体"/>
                <w:sz w:val="21"/>
                <w:szCs w:val="24"/>
              </w:rPr>
              <w:t>3、</w:t>
            </w:r>
            <w:r>
              <w:rPr>
                <w:rFonts w:hint="eastAsia" w:eastAsia="宋体"/>
                <w:sz w:val="21"/>
                <w:highlight w:val="none"/>
                <w:lang w:val="en-US" w:eastAsia="zh-CN"/>
              </w:rPr>
              <w:t>高边坡是指：根据《公路路基设计规范》（JTG D30—2015），路基填土边坡高度大于20m的高路堤，土质挖方边坡高度大于20m或岩石挖方边坡高度大于30m的深路堑。</w:t>
            </w:r>
          </w:p>
        </w:tc>
      </w:tr>
      <w:tr w14:paraId="259E3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67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962FCC">
            <w:pPr>
              <w:pStyle w:val="31"/>
              <w:spacing w:line="360" w:lineRule="auto"/>
              <w:jc w:val="center"/>
              <w:rPr>
                <w:rFonts w:eastAsia="宋体"/>
                <w:sz w:val="21"/>
                <w:highlight w:val="none"/>
              </w:rPr>
            </w:pPr>
          </w:p>
        </w:tc>
        <w:tc>
          <w:tcPr>
            <w:tcW w:w="691"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8A73056">
            <w:pPr>
              <w:pStyle w:val="31"/>
              <w:spacing w:line="360" w:lineRule="auto"/>
              <w:jc w:val="center"/>
              <w:rPr>
                <w:rFonts w:eastAsia="宋体"/>
                <w:sz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DA58042">
            <w:pPr>
              <w:pStyle w:val="31"/>
              <w:spacing w:line="360" w:lineRule="auto"/>
              <w:rPr>
                <w:rFonts w:eastAsia="宋体"/>
                <w:sz w:val="21"/>
                <w:highlight w:val="none"/>
              </w:rPr>
            </w:pPr>
            <w:r>
              <w:rPr>
                <w:rFonts w:eastAsia="宋体"/>
                <w:sz w:val="21"/>
                <w:highlight w:val="none"/>
              </w:rPr>
              <w:t>主要人员（2</w:t>
            </w:r>
            <w:r>
              <w:rPr>
                <w:rFonts w:hint="eastAsia" w:eastAsia="宋体"/>
                <w:sz w:val="21"/>
                <w:highlight w:val="none"/>
                <w:lang w:val="en-US" w:eastAsia="zh-CN"/>
              </w:rPr>
              <w:t>0</w:t>
            </w:r>
            <w:r>
              <w:rPr>
                <w:rFonts w:eastAsia="宋体"/>
                <w:sz w:val="21"/>
                <w:highlight w:val="none"/>
              </w:rPr>
              <w:t>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788EB3">
            <w:pPr>
              <w:pStyle w:val="31"/>
              <w:spacing w:line="360" w:lineRule="auto"/>
              <w:rPr>
                <w:rFonts w:eastAsia="宋体"/>
                <w:sz w:val="21"/>
                <w:highlight w:val="none"/>
              </w:rPr>
            </w:pPr>
            <w:r>
              <w:rPr>
                <w:rFonts w:eastAsia="宋体"/>
                <w:sz w:val="21"/>
                <w:highlight w:val="none"/>
              </w:rPr>
              <w:t>a.满足资格审查要求的，得基本分1</w:t>
            </w:r>
            <w:r>
              <w:rPr>
                <w:rFonts w:hint="eastAsia" w:eastAsia="宋体"/>
                <w:sz w:val="21"/>
                <w:highlight w:val="none"/>
                <w:lang w:val="en-US" w:eastAsia="zh-CN"/>
              </w:rPr>
              <w:t>2</w:t>
            </w:r>
            <w:r>
              <w:rPr>
                <w:rFonts w:eastAsia="宋体"/>
                <w:sz w:val="21"/>
                <w:highlight w:val="none"/>
              </w:rPr>
              <w:t xml:space="preserve">分； </w:t>
            </w:r>
          </w:p>
          <w:p w14:paraId="2F0A0702">
            <w:pPr>
              <w:pStyle w:val="31"/>
              <w:spacing w:line="360" w:lineRule="auto"/>
              <w:rPr>
                <w:rFonts w:eastAsia="宋体"/>
                <w:sz w:val="21"/>
                <w:highlight w:val="none"/>
              </w:rPr>
            </w:pPr>
            <w:r>
              <w:rPr>
                <w:rFonts w:eastAsia="宋体"/>
                <w:sz w:val="21"/>
                <w:highlight w:val="none"/>
              </w:rPr>
              <w:t>b.在满足资格审查要求基础上，项目负责人每增加</w:t>
            </w:r>
            <w:r>
              <w:rPr>
                <w:rFonts w:hint="default" w:ascii="Times New Roman" w:hAnsi="Times New Roman" w:eastAsia="宋体" w:cs="Times New Roman"/>
                <w:sz w:val="21"/>
                <w:highlight w:val="none"/>
              </w:rPr>
              <w:t>1个</w:t>
            </w:r>
            <w:r>
              <w:rPr>
                <w:rFonts w:hint="eastAsia" w:ascii="Times New Roman" w:hAnsi="Times New Roman" w:eastAsia="宋体" w:cs="Times New Roman"/>
                <w:sz w:val="21"/>
                <w:szCs w:val="24"/>
                <w:highlight w:val="none"/>
                <w:lang w:val="en-US" w:eastAsia="zh-CN"/>
              </w:rPr>
              <w:t>满足资格审查要求的</w:t>
            </w:r>
            <w:r>
              <w:rPr>
                <w:rFonts w:eastAsia="宋体"/>
                <w:sz w:val="21"/>
                <w:highlight w:val="none"/>
              </w:rPr>
              <w:t>业绩加</w:t>
            </w:r>
            <w:r>
              <w:rPr>
                <w:rFonts w:hint="eastAsia" w:eastAsia="宋体"/>
                <w:sz w:val="21"/>
                <w:highlight w:val="none"/>
                <w:lang w:val="en-US" w:eastAsia="zh-CN"/>
              </w:rPr>
              <w:t>2</w:t>
            </w:r>
            <w:r>
              <w:rPr>
                <w:rFonts w:eastAsia="宋体"/>
                <w:sz w:val="21"/>
                <w:highlight w:val="none"/>
              </w:rPr>
              <w:t>分（不限年限），本项最多加</w:t>
            </w:r>
            <w:r>
              <w:rPr>
                <w:rFonts w:hint="eastAsia" w:eastAsia="宋体"/>
                <w:sz w:val="21"/>
                <w:highlight w:val="none"/>
                <w:lang w:val="en-US" w:eastAsia="zh-CN"/>
              </w:rPr>
              <w:t>4</w:t>
            </w:r>
            <w:r>
              <w:rPr>
                <w:rFonts w:eastAsia="宋体"/>
                <w:sz w:val="21"/>
                <w:highlight w:val="none"/>
              </w:rPr>
              <w:t>分。</w:t>
            </w:r>
          </w:p>
          <w:p w14:paraId="4FD9F5FD">
            <w:pPr>
              <w:pStyle w:val="31"/>
              <w:spacing w:line="360" w:lineRule="auto"/>
              <w:rPr>
                <w:rFonts w:eastAsia="宋体"/>
                <w:sz w:val="21"/>
                <w:highlight w:val="none"/>
              </w:rPr>
            </w:pPr>
            <w:r>
              <w:rPr>
                <w:rFonts w:eastAsia="宋体"/>
                <w:sz w:val="21"/>
                <w:highlight w:val="none"/>
              </w:rPr>
              <w:t>c.在满足资格审查要求基础上，技术负责人每增加</w:t>
            </w:r>
            <w:r>
              <w:rPr>
                <w:rFonts w:hint="default" w:ascii="Times New Roman" w:hAnsi="Times New Roman" w:eastAsia="宋体" w:cs="Times New Roman"/>
                <w:sz w:val="21"/>
                <w:highlight w:val="none"/>
              </w:rPr>
              <w:t>1个</w:t>
            </w:r>
            <w:r>
              <w:rPr>
                <w:rFonts w:hint="eastAsia" w:ascii="Times New Roman" w:hAnsi="Times New Roman" w:eastAsia="宋体" w:cs="Times New Roman"/>
                <w:sz w:val="21"/>
                <w:szCs w:val="24"/>
                <w:highlight w:val="none"/>
                <w:lang w:val="en-US" w:eastAsia="zh-CN"/>
              </w:rPr>
              <w:t>满足资格审查要求的</w:t>
            </w:r>
            <w:r>
              <w:rPr>
                <w:rFonts w:eastAsia="宋体"/>
                <w:sz w:val="21"/>
                <w:highlight w:val="none"/>
              </w:rPr>
              <w:t>业绩</w:t>
            </w:r>
            <w:r>
              <w:rPr>
                <w:rFonts w:hint="eastAsia" w:eastAsia="宋体"/>
                <w:sz w:val="21"/>
                <w:highlight w:val="none"/>
                <w:lang w:val="en-US" w:eastAsia="zh-CN"/>
              </w:rPr>
              <w:t>的</w:t>
            </w:r>
            <w:r>
              <w:rPr>
                <w:rFonts w:eastAsia="宋体"/>
                <w:sz w:val="21"/>
                <w:highlight w:val="none"/>
              </w:rPr>
              <w:t>加</w:t>
            </w:r>
            <w:r>
              <w:rPr>
                <w:rFonts w:hint="eastAsia" w:eastAsia="宋体"/>
                <w:sz w:val="21"/>
                <w:highlight w:val="none"/>
                <w:lang w:val="en-US" w:eastAsia="zh-CN"/>
              </w:rPr>
              <w:t>2</w:t>
            </w:r>
            <w:r>
              <w:rPr>
                <w:rFonts w:eastAsia="宋体"/>
                <w:sz w:val="21"/>
                <w:highlight w:val="none"/>
              </w:rPr>
              <w:t>分（不限年限），本项最多加</w:t>
            </w:r>
            <w:r>
              <w:rPr>
                <w:rFonts w:hint="eastAsia" w:eastAsia="宋体"/>
                <w:sz w:val="21"/>
                <w:highlight w:val="none"/>
                <w:lang w:val="en-US" w:eastAsia="zh-CN"/>
              </w:rPr>
              <w:t>4</w:t>
            </w:r>
            <w:r>
              <w:rPr>
                <w:rFonts w:eastAsia="宋体"/>
                <w:sz w:val="21"/>
                <w:highlight w:val="none"/>
              </w:rPr>
              <w:t>分。</w:t>
            </w:r>
          </w:p>
          <w:p w14:paraId="3C269855">
            <w:pPr>
              <w:pStyle w:val="31"/>
              <w:spacing w:line="360" w:lineRule="auto"/>
              <w:rPr>
                <w:rFonts w:eastAsia="宋体"/>
                <w:sz w:val="21"/>
                <w:highlight w:val="none"/>
              </w:rPr>
            </w:pPr>
            <w:r>
              <w:rPr>
                <w:rFonts w:eastAsia="宋体"/>
                <w:sz w:val="21"/>
                <w:highlight w:val="none"/>
              </w:rPr>
              <w:t>注：</w:t>
            </w:r>
          </w:p>
          <w:p w14:paraId="60EF450B">
            <w:pPr>
              <w:pStyle w:val="31"/>
              <w:spacing w:line="360" w:lineRule="auto"/>
              <w:rPr>
                <w:rFonts w:eastAsia="宋体"/>
                <w:sz w:val="21"/>
                <w:highlight w:val="none"/>
              </w:rPr>
            </w:pPr>
            <w:r>
              <w:rPr>
                <w:rFonts w:hint="eastAsia" w:eastAsia="宋体"/>
                <w:sz w:val="21"/>
                <w:highlight w:val="none"/>
                <w:lang w:val="en-US" w:eastAsia="zh-CN"/>
              </w:rPr>
              <w:t>1、</w:t>
            </w:r>
            <w:r>
              <w:rPr>
                <w:rFonts w:eastAsia="宋体"/>
                <w:sz w:val="21"/>
                <w:highlight w:val="none"/>
              </w:rPr>
              <w:t>加分业绩证明材料要求同“附录</w:t>
            </w:r>
            <w:r>
              <w:rPr>
                <w:rFonts w:eastAsia="宋体"/>
                <w:sz w:val="21"/>
                <w:highlight w:val="none"/>
                <w:lang w:eastAsia="zh-CN"/>
              </w:rPr>
              <w:t>3</w:t>
            </w:r>
            <w:r>
              <w:rPr>
                <w:rFonts w:eastAsia="宋体"/>
                <w:sz w:val="21"/>
                <w:highlight w:val="none"/>
              </w:rPr>
              <w:t>”注释</w:t>
            </w:r>
            <w:r>
              <w:rPr>
                <w:rFonts w:hint="eastAsia" w:eastAsia="宋体"/>
                <w:sz w:val="21"/>
                <w:highlight w:val="none"/>
                <w:lang w:eastAsia="zh-CN"/>
              </w:rPr>
              <w:t>；</w:t>
            </w:r>
            <w:r>
              <w:rPr>
                <w:rFonts w:hint="eastAsia" w:eastAsia="宋体"/>
                <w:sz w:val="21"/>
                <w:highlight w:val="none"/>
                <w:lang w:val="en-US" w:eastAsia="zh-CN"/>
              </w:rPr>
              <w:t>2</w:t>
            </w:r>
            <w:r>
              <w:rPr>
                <w:rFonts w:hint="eastAsia" w:eastAsia="宋体"/>
                <w:sz w:val="21"/>
                <w:szCs w:val="24"/>
                <w:lang w:val="en-US" w:eastAsia="zh-CN"/>
              </w:rPr>
              <w:t>一个合同协议书中包含多条高速公路的高边坡监测项目的只作为一项高边坡监测项目业绩进行认定</w:t>
            </w:r>
            <w:r>
              <w:rPr>
                <w:rFonts w:hint="eastAsia" w:eastAsia="宋体"/>
                <w:sz w:val="21"/>
                <w:highlight w:val="none"/>
                <w:lang w:val="en-US" w:eastAsia="zh-CN"/>
              </w:rPr>
              <w:t>；3、高边坡是指：根据《公路路基设计规范》（JTG D30—2015），路基填土边坡高度大于20m的高路堤，土质挖方边坡高度大于20m或岩石挖方边坡高度大于30m的深路堑。</w:t>
            </w:r>
          </w:p>
        </w:tc>
      </w:tr>
      <w:tr w14:paraId="2138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48551EC1">
            <w:pPr>
              <w:pStyle w:val="31"/>
              <w:spacing w:line="360" w:lineRule="auto"/>
              <w:jc w:val="center"/>
              <w:rPr>
                <w:rFonts w:eastAsia="宋体"/>
                <w:sz w:val="21"/>
                <w:highlight w:val="none"/>
              </w:rPr>
            </w:pPr>
            <w:r>
              <w:rPr>
                <w:rFonts w:eastAsia="宋体"/>
                <w:sz w:val="21"/>
                <w:highlight w:val="none"/>
              </w:rPr>
              <w:t>2.2.4（2）</w:t>
            </w:r>
          </w:p>
        </w:tc>
        <w:tc>
          <w:tcPr>
            <w:tcW w:w="691"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70932C1A">
            <w:pPr>
              <w:pStyle w:val="31"/>
              <w:spacing w:line="360" w:lineRule="auto"/>
              <w:jc w:val="center"/>
              <w:rPr>
                <w:rFonts w:eastAsia="宋体"/>
                <w:sz w:val="21"/>
                <w:highlight w:val="none"/>
              </w:rPr>
            </w:pPr>
            <w:r>
              <w:rPr>
                <w:rFonts w:eastAsia="宋体"/>
                <w:sz w:val="21"/>
                <w:highlight w:val="none"/>
              </w:rPr>
              <w:t>技术建议书评分标准</w:t>
            </w: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83B39E">
            <w:pPr>
              <w:spacing w:line="360" w:lineRule="atLeast"/>
              <w:ind w:left="105" w:leftChars="50" w:right="105" w:rightChars="50"/>
              <w:jc w:val="center"/>
              <w:rPr>
                <w:rFonts w:eastAsia="宋体"/>
                <w:sz w:val="21"/>
                <w:highlight w:val="none"/>
              </w:rPr>
            </w:pPr>
            <w:r>
              <w:rPr>
                <w:rFonts w:hint="eastAsia"/>
                <w:szCs w:val="21"/>
              </w:rPr>
              <w:t>项目组织机构及人员组织（</w:t>
            </w:r>
            <w:r>
              <w:rPr>
                <w:szCs w:val="21"/>
              </w:rPr>
              <w:t>5</w:t>
            </w:r>
            <w:r>
              <w:rPr>
                <w:rFonts w:hint="eastAsia"/>
                <w:szCs w:val="21"/>
              </w:rPr>
              <w:t>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E05653">
            <w:pPr>
              <w:spacing w:line="360" w:lineRule="atLeast"/>
              <w:ind w:left="105" w:leftChars="50" w:right="105" w:rightChars="50"/>
              <w:rPr>
                <w:szCs w:val="24"/>
              </w:rPr>
            </w:pPr>
            <w:r>
              <w:rPr>
                <w:szCs w:val="24"/>
              </w:rPr>
              <w:t>(1)</w:t>
            </w:r>
            <w:r>
              <w:rPr>
                <w:rFonts w:hint="eastAsia"/>
                <w:szCs w:val="24"/>
              </w:rPr>
              <w:t>项目组织机构及人员组织较可行，得</w:t>
            </w:r>
            <w:r>
              <w:rPr>
                <w:szCs w:val="24"/>
              </w:rPr>
              <w:t>3~4</w:t>
            </w:r>
            <w:r>
              <w:rPr>
                <w:rFonts w:hint="eastAsia"/>
                <w:szCs w:val="24"/>
              </w:rPr>
              <w:t>分；</w:t>
            </w:r>
          </w:p>
          <w:p w14:paraId="636E866D">
            <w:pPr>
              <w:spacing w:line="360" w:lineRule="atLeast"/>
              <w:ind w:left="105" w:leftChars="50" w:right="105" w:rightChars="50"/>
              <w:jc w:val="left"/>
              <w:rPr>
                <w:rFonts w:eastAsia="宋体"/>
                <w:sz w:val="21"/>
                <w:highlight w:val="none"/>
              </w:rPr>
            </w:pPr>
            <w:r>
              <w:rPr>
                <w:szCs w:val="24"/>
              </w:rPr>
              <w:t xml:space="preserve">(2) </w:t>
            </w:r>
            <w:r>
              <w:rPr>
                <w:rFonts w:hint="eastAsia"/>
                <w:szCs w:val="24"/>
              </w:rPr>
              <w:t>项目组织机构及人员组织可行，得</w:t>
            </w:r>
            <w:r>
              <w:rPr>
                <w:szCs w:val="24"/>
              </w:rPr>
              <w:t>4~5</w:t>
            </w:r>
            <w:r>
              <w:rPr>
                <w:rFonts w:hint="eastAsia"/>
                <w:szCs w:val="24"/>
              </w:rPr>
              <w:t>分。</w:t>
            </w:r>
          </w:p>
        </w:tc>
      </w:tr>
      <w:tr w14:paraId="59A9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continue"/>
            <w:tcBorders>
              <w:left w:val="single" w:color="000000" w:sz="2" w:space="0"/>
              <w:right w:val="single" w:color="000000" w:sz="2" w:space="0"/>
            </w:tcBorders>
            <w:noWrap/>
            <w:tcMar>
              <w:top w:w="100" w:type="dxa"/>
              <w:bottom w:w="100" w:type="dxa"/>
            </w:tcMar>
            <w:vAlign w:val="center"/>
          </w:tcPr>
          <w:p w14:paraId="1732EB2D">
            <w:pPr>
              <w:pStyle w:val="31"/>
              <w:spacing w:line="360" w:lineRule="auto"/>
              <w:jc w:val="center"/>
              <w:rPr>
                <w:rFonts w:eastAsia="宋体"/>
                <w:sz w:val="21"/>
                <w:highlight w:val="none"/>
              </w:rPr>
            </w:pPr>
          </w:p>
        </w:tc>
        <w:tc>
          <w:tcPr>
            <w:tcW w:w="691" w:type="dxa"/>
            <w:vMerge w:val="continue"/>
            <w:tcBorders>
              <w:left w:val="single" w:color="000000" w:sz="2" w:space="0"/>
              <w:right w:val="single" w:color="000000" w:sz="2" w:space="0"/>
            </w:tcBorders>
            <w:noWrap/>
            <w:tcMar>
              <w:top w:w="100" w:type="dxa"/>
              <w:bottom w:w="100" w:type="dxa"/>
            </w:tcMar>
            <w:vAlign w:val="center"/>
          </w:tcPr>
          <w:p w14:paraId="0524A17F">
            <w:pPr>
              <w:pStyle w:val="31"/>
              <w:spacing w:line="360" w:lineRule="auto"/>
              <w:jc w:val="center"/>
              <w:rPr>
                <w:rFonts w:eastAsia="宋体"/>
                <w:sz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A967A5">
            <w:pPr>
              <w:spacing w:line="360" w:lineRule="atLeast"/>
              <w:ind w:left="105" w:leftChars="50" w:right="105" w:rightChars="50"/>
              <w:jc w:val="center"/>
              <w:rPr>
                <w:rFonts w:eastAsia="宋体"/>
                <w:sz w:val="21"/>
                <w:highlight w:val="none"/>
              </w:rPr>
            </w:pPr>
            <w:r>
              <w:rPr>
                <w:rFonts w:hint="eastAsia"/>
                <w:szCs w:val="21"/>
              </w:rPr>
              <w:t>观测（监测）方案（15分）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AFF4B7">
            <w:pPr>
              <w:spacing w:line="360" w:lineRule="atLeast"/>
              <w:ind w:left="105" w:leftChars="50" w:right="105" w:rightChars="50"/>
              <w:jc w:val="left"/>
              <w:rPr>
                <w:rFonts w:hint="eastAsia"/>
                <w:szCs w:val="24"/>
              </w:rPr>
            </w:pPr>
            <w:r>
              <w:rPr>
                <w:rFonts w:hint="eastAsia"/>
                <w:szCs w:val="24"/>
              </w:rPr>
              <w:t>(1) 观测（监测）方案较完整、较科学、较合理可行的，得9~12分；</w:t>
            </w:r>
          </w:p>
          <w:p w14:paraId="479DD64C">
            <w:pPr>
              <w:spacing w:line="360" w:lineRule="atLeast"/>
              <w:ind w:left="105" w:leftChars="50" w:right="105" w:rightChars="50"/>
              <w:jc w:val="left"/>
              <w:rPr>
                <w:rFonts w:eastAsia="宋体"/>
                <w:sz w:val="21"/>
                <w:highlight w:val="none"/>
              </w:rPr>
            </w:pPr>
            <w:r>
              <w:rPr>
                <w:rFonts w:hint="eastAsia"/>
                <w:szCs w:val="24"/>
              </w:rPr>
              <w:t>(2) 观测（监测）方案完整、科学、合理可行的，得12~15分。</w:t>
            </w:r>
          </w:p>
        </w:tc>
      </w:tr>
      <w:tr w14:paraId="5CB1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continue"/>
            <w:tcBorders>
              <w:left w:val="single" w:color="000000" w:sz="2" w:space="0"/>
              <w:right w:val="single" w:color="000000" w:sz="2" w:space="0"/>
            </w:tcBorders>
            <w:noWrap/>
            <w:tcMar>
              <w:top w:w="100" w:type="dxa"/>
              <w:bottom w:w="100" w:type="dxa"/>
            </w:tcMar>
            <w:vAlign w:val="center"/>
          </w:tcPr>
          <w:p w14:paraId="1F3F9A3D">
            <w:pPr>
              <w:pStyle w:val="31"/>
              <w:spacing w:line="360" w:lineRule="auto"/>
              <w:jc w:val="center"/>
              <w:rPr>
                <w:rFonts w:eastAsia="宋体"/>
                <w:sz w:val="21"/>
                <w:highlight w:val="none"/>
              </w:rPr>
            </w:pPr>
          </w:p>
        </w:tc>
        <w:tc>
          <w:tcPr>
            <w:tcW w:w="691" w:type="dxa"/>
            <w:vMerge w:val="continue"/>
            <w:tcBorders>
              <w:left w:val="single" w:color="000000" w:sz="2" w:space="0"/>
              <w:right w:val="single" w:color="000000" w:sz="2" w:space="0"/>
            </w:tcBorders>
            <w:noWrap/>
            <w:tcMar>
              <w:top w:w="100" w:type="dxa"/>
              <w:bottom w:w="100" w:type="dxa"/>
            </w:tcMar>
            <w:vAlign w:val="center"/>
          </w:tcPr>
          <w:p w14:paraId="658AC38E">
            <w:pPr>
              <w:pStyle w:val="31"/>
              <w:spacing w:line="360" w:lineRule="auto"/>
              <w:jc w:val="center"/>
              <w:rPr>
                <w:rFonts w:eastAsia="宋体"/>
                <w:sz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A01990">
            <w:pPr>
              <w:spacing w:line="360" w:lineRule="atLeast"/>
              <w:ind w:left="105" w:leftChars="50" w:right="105" w:rightChars="50"/>
              <w:jc w:val="center"/>
              <w:rPr>
                <w:rFonts w:eastAsia="宋体"/>
                <w:sz w:val="21"/>
                <w:highlight w:val="none"/>
              </w:rPr>
            </w:pPr>
            <w:r>
              <w:rPr>
                <w:rFonts w:hint="eastAsia"/>
                <w:szCs w:val="21"/>
              </w:rPr>
              <w:t>本项目实施过程中的重点、难点分析及其对策（</w:t>
            </w:r>
            <w:r>
              <w:rPr>
                <w:szCs w:val="21"/>
              </w:rPr>
              <w:t>10</w:t>
            </w:r>
            <w:r>
              <w:rPr>
                <w:rFonts w:hint="eastAsia"/>
                <w:szCs w:val="21"/>
              </w:rPr>
              <w:t>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DBD72AC">
            <w:pPr>
              <w:spacing w:line="360" w:lineRule="atLeast"/>
              <w:ind w:left="105" w:leftChars="50" w:right="105" w:rightChars="50"/>
              <w:jc w:val="left"/>
              <w:rPr>
                <w:szCs w:val="24"/>
              </w:rPr>
            </w:pPr>
            <w:r>
              <w:rPr>
                <w:szCs w:val="24"/>
              </w:rPr>
              <w:t xml:space="preserve">(1) </w:t>
            </w:r>
            <w:r>
              <w:rPr>
                <w:rFonts w:hint="eastAsia"/>
                <w:szCs w:val="24"/>
              </w:rPr>
              <w:t>本项目实施过程中的重点、难点分析及其对策针对性较强的，得</w:t>
            </w:r>
            <w:r>
              <w:rPr>
                <w:szCs w:val="24"/>
              </w:rPr>
              <w:t>6~8</w:t>
            </w:r>
            <w:r>
              <w:rPr>
                <w:rFonts w:hint="eastAsia"/>
                <w:szCs w:val="24"/>
              </w:rPr>
              <w:t>分；</w:t>
            </w:r>
          </w:p>
          <w:p w14:paraId="3F6AC9D7">
            <w:pPr>
              <w:spacing w:line="360" w:lineRule="atLeast"/>
              <w:ind w:left="105" w:leftChars="50" w:right="105" w:rightChars="50"/>
              <w:jc w:val="left"/>
              <w:rPr>
                <w:rFonts w:eastAsia="宋体"/>
                <w:sz w:val="21"/>
                <w:highlight w:val="none"/>
              </w:rPr>
            </w:pPr>
            <w:r>
              <w:rPr>
                <w:szCs w:val="24"/>
              </w:rPr>
              <w:t xml:space="preserve">(2) </w:t>
            </w:r>
            <w:r>
              <w:rPr>
                <w:rFonts w:hint="eastAsia"/>
                <w:szCs w:val="24"/>
              </w:rPr>
              <w:t>本项目实施过程中的重点、难点分析及其对策针对性强的，得</w:t>
            </w:r>
            <w:r>
              <w:rPr>
                <w:szCs w:val="24"/>
              </w:rPr>
              <w:t>8~10</w:t>
            </w:r>
            <w:r>
              <w:rPr>
                <w:rFonts w:hint="eastAsia"/>
                <w:szCs w:val="24"/>
              </w:rPr>
              <w:t>分。</w:t>
            </w:r>
          </w:p>
        </w:tc>
      </w:tr>
      <w:tr w14:paraId="1D23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continue"/>
            <w:tcBorders>
              <w:left w:val="single" w:color="000000" w:sz="2" w:space="0"/>
              <w:right w:val="single" w:color="000000" w:sz="2" w:space="0"/>
            </w:tcBorders>
            <w:noWrap/>
            <w:tcMar>
              <w:top w:w="100" w:type="dxa"/>
              <w:bottom w:w="100" w:type="dxa"/>
            </w:tcMar>
            <w:vAlign w:val="center"/>
          </w:tcPr>
          <w:p w14:paraId="302F5C7F">
            <w:pPr>
              <w:pStyle w:val="31"/>
              <w:spacing w:line="360" w:lineRule="auto"/>
              <w:jc w:val="center"/>
              <w:rPr>
                <w:rFonts w:eastAsia="宋体"/>
                <w:sz w:val="21"/>
                <w:highlight w:val="none"/>
              </w:rPr>
            </w:pPr>
          </w:p>
        </w:tc>
        <w:tc>
          <w:tcPr>
            <w:tcW w:w="691" w:type="dxa"/>
            <w:vMerge w:val="continue"/>
            <w:tcBorders>
              <w:left w:val="single" w:color="000000" w:sz="2" w:space="0"/>
              <w:right w:val="single" w:color="000000" w:sz="2" w:space="0"/>
            </w:tcBorders>
            <w:noWrap/>
            <w:tcMar>
              <w:top w:w="100" w:type="dxa"/>
              <w:bottom w:w="100" w:type="dxa"/>
            </w:tcMar>
            <w:vAlign w:val="center"/>
          </w:tcPr>
          <w:p w14:paraId="2935815D">
            <w:pPr>
              <w:pStyle w:val="31"/>
              <w:spacing w:line="360" w:lineRule="auto"/>
              <w:jc w:val="center"/>
              <w:rPr>
                <w:rFonts w:eastAsia="宋体"/>
                <w:sz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E81FB1">
            <w:pPr>
              <w:spacing w:line="360" w:lineRule="atLeast"/>
              <w:ind w:left="105" w:leftChars="50" w:right="105" w:rightChars="50"/>
              <w:jc w:val="center"/>
              <w:rPr>
                <w:rFonts w:eastAsia="宋体"/>
                <w:sz w:val="21"/>
                <w:highlight w:val="none"/>
              </w:rPr>
            </w:pPr>
            <w:r>
              <w:rPr>
                <w:rFonts w:hint="eastAsia"/>
                <w:szCs w:val="21"/>
              </w:rPr>
              <w:t>监测工作及安全保证措施（</w:t>
            </w:r>
            <w:r>
              <w:rPr>
                <w:szCs w:val="21"/>
              </w:rPr>
              <w:t>5</w:t>
            </w:r>
            <w:r>
              <w:rPr>
                <w:rFonts w:hint="eastAsia"/>
                <w:szCs w:val="21"/>
              </w:rPr>
              <w:t>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D9A4E0">
            <w:pPr>
              <w:spacing w:line="360" w:lineRule="atLeast"/>
              <w:ind w:left="105" w:leftChars="50" w:right="105" w:rightChars="50"/>
              <w:jc w:val="left"/>
              <w:rPr>
                <w:szCs w:val="24"/>
              </w:rPr>
            </w:pPr>
            <w:r>
              <w:rPr>
                <w:szCs w:val="24"/>
              </w:rPr>
              <w:t>(1)</w:t>
            </w:r>
            <w:r>
              <w:rPr>
                <w:rFonts w:hint="eastAsia"/>
                <w:szCs w:val="24"/>
              </w:rPr>
              <w:t>监测工作及安全保证措施较科学有效的，得</w:t>
            </w:r>
            <w:r>
              <w:rPr>
                <w:szCs w:val="24"/>
              </w:rPr>
              <w:t>3</w:t>
            </w:r>
            <w:r>
              <w:rPr>
                <w:rFonts w:hint="eastAsia"/>
                <w:szCs w:val="24"/>
              </w:rPr>
              <w:t>～</w:t>
            </w:r>
            <w:r>
              <w:rPr>
                <w:szCs w:val="24"/>
              </w:rPr>
              <w:t>4</w:t>
            </w:r>
            <w:r>
              <w:rPr>
                <w:rFonts w:hint="eastAsia"/>
                <w:szCs w:val="24"/>
              </w:rPr>
              <w:t>分；</w:t>
            </w:r>
          </w:p>
          <w:p w14:paraId="3D402175">
            <w:pPr>
              <w:spacing w:line="360" w:lineRule="atLeast"/>
              <w:ind w:left="105" w:leftChars="50" w:right="105" w:rightChars="50"/>
              <w:jc w:val="left"/>
              <w:rPr>
                <w:rFonts w:eastAsia="宋体"/>
                <w:sz w:val="21"/>
                <w:highlight w:val="none"/>
              </w:rPr>
            </w:pPr>
            <w:r>
              <w:rPr>
                <w:szCs w:val="24"/>
              </w:rPr>
              <w:t xml:space="preserve">(2) </w:t>
            </w:r>
            <w:r>
              <w:rPr>
                <w:rFonts w:hint="eastAsia"/>
                <w:szCs w:val="24"/>
              </w:rPr>
              <w:t>监测工作及安全保证措施科学有效的，得</w:t>
            </w:r>
            <w:r>
              <w:rPr>
                <w:szCs w:val="24"/>
              </w:rPr>
              <w:t>4</w:t>
            </w:r>
            <w:r>
              <w:rPr>
                <w:rFonts w:hint="eastAsia"/>
                <w:szCs w:val="24"/>
              </w:rPr>
              <w:t>～</w:t>
            </w:r>
            <w:r>
              <w:rPr>
                <w:szCs w:val="24"/>
              </w:rPr>
              <w:t>5</w:t>
            </w:r>
            <w:r>
              <w:rPr>
                <w:rFonts w:hint="eastAsia"/>
                <w:szCs w:val="24"/>
              </w:rPr>
              <w:t>分。</w:t>
            </w:r>
          </w:p>
        </w:tc>
      </w:tr>
      <w:tr w14:paraId="131F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343929AE">
            <w:pPr>
              <w:pStyle w:val="31"/>
              <w:spacing w:line="360" w:lineRule="auto"/>
              <w:jc w:val="center"/>
              <w:rPr>
                <w:rFonts w:eastAsia="宋体"/>
                <w:sz w:val="21"/>
                <w:highlight w:val="none"/>
              </w:rPr>
            </w:pPr>
          </w:p>
        </w:tc>
        <w:tc>
          <w:tcPr>
            <w:tcW w:w="691"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1F638EB1">
            <w:pPr>
              <w:pStyle w:val="31"/>
              <w:spacing w:line="360" w:lineRule="auto"/>
              <w:jc w:val="center"/>
              <w:rPr>
                <w:rFonts w:eastAsia="宋体"/>
                <w:sz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3B368A">
            <w:pPr>
              <w:spacing w:line="360" w:lineRule="atLeast"/>
              <w:ind w:left="105" w:leftChars="50" w:right="105" w:rightChars="50"/>
              <w:jc w:val="center"/>
              <w:rPr>
                <w:rFonts w:eastAsia="宋体"/>
                <w:sz w:val="21"/>
                <w:highlight w:val="none"/>
              </w:rPr>
            </w:pPr>
            <w:r>
              <w:rPr>
                <w:rFonts w:hint="eastAsia"/>
                <w:szCs w:val="21"/>
              </w:rPr>
              <w:t>现场配合与服务、有关本项目的其他建议（</w:t>
            </w:r>
            <w:r>
              <w:rPr>
                <w:szCs w:val="21"/>
              </w:rPr>
              <w:t>5</w:t>
            </w:r>
            <w:r>
              <w:rPr>
                <w:rFonts w:hint="eastAsia"/>
                <w:szCs w:val="21"/>
              </w:rPr>
              <w:t>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8A9D46">
            <w:pPr>
              <w:spacing w:line="360" w:lineRule="atLeast"/>
              <w:ind w:left="105" w:leftChars="50" w:right="105" w:rightChars="50"/>
              <w:jc w:val="left"/>
              <w:rPr>
                <w:szCs w:val="24"/>
              </w:rPr>
            </w:pPr>
            <w:r>
              <w:rPr>
                <w:szCs w:val="24"/>
              </w:rPr>
              <w:t>(1)</w:t>
            </w:r>
            <w:r>
              <w:rPr>
                <w:rFonts w:hint="eastAsia"/>
                <w:szCs w:val="24"/>
              </w:rPr>
              <w:t>现场配合与服务、有关本项目的其他建议较合理的，得</w:t>
            </w:r>
            <w:r>
              <w:rPr>
                <w:szCs w:val="24"/>
              </w:rPr>
              <w:t>3</w:t>
            </w:r>
            <w:r>
              <w:rPr>
                <w:rFonts w:hint="eastAsia"/>
                <w:szCs w:val="24"/>
              </w:rPr>
              <w:t>～</w:t>
            </w:r>
            <w:r>
              <w:rPr>
                <w:szCs w:val="24"/>
              </w:rPr>
              <w:t>4</w:t>
            </w:r>
            <w:r>
              <w:rPr>
                <w:rFonts w:hint="eastAsia"/>
                <w:szCs w:val="24"/>
              </w:rPr>
              <w:t>分；</w:t>
            </w:r>
          </w:p>
          <w:p w14:paraId="5EB43694">
            <w:pPr>
              <w:spacing w:line="360" w:lineRule="atLeast"/>
              <w:ind w:left="105" w:leftChars="50" w:right="105" w:rightChars="50"/>
              <w:jc w:val="left"/>
              <w:rPr>
                <w:rFonts w:eastAsia="宋体"/>
                <w:sz w:val="21"/>
                <w:highlight w:val="none"/>
              </w:rPr>
            </w:pPr>
            <w:r>
              <w:rPr>
                <w:szCs w:val="24"/>
              </w:rPr>
              <w:t xml:space="preserve">(2) </w:t>
            </w:r>
            <w:r>
              <w:rPr>
                <w:rFonts w:hint="eastAsia"/>
                <w:szCs w:val="24"/>
              </w:rPr>
              <w:t>现场配合与服务、有关本项目的其他建议合理的，得</w:t>
            </w:r>
            <w:r>
              <w:rPr>
                <w:szCs w:val="24"/>
              </w:rPr>
              <w:t>4</w:t>
            </w:r>
            <w:r>
              <w:rPr>
                <w:rFonts w:hint="eastAsia"/>
                <w:szCs w:val="24"/>
              </w:rPr>
              <w:t>～</w:t>
            </w:r>
            <w:r>
              <w:rPr>
                <w:szCs w:val="24"/>
              </w:rPr>
              <w:t>5</w:t>
            </w:r>
            <w:r>
              <w:rPr>
                <w:rFonts w:hint="eastAsia"/>
                <w:szCs w:val="24"/>
              </w:rPr>
              <w:t>分。</w:t>
            </w:r>
          </w:p>
        </w:tc>
      </w:tr>
      <w:tr w14:paraId="72C6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4" w:hRule="atLeast"/>
        </w:trPr>
        <w:tc>
          <w:tcPr>
            <w:tcW w:w="67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DDD663">
            <w:pPr>
              <w:pStyle w:val="31"/>
              <w:spacing w:line="360" w:lineRule="auto"/>
              <w:jc w:val="center"/>
              <w:rPr>
                <w:rFonts w:eastAsia="宋体"/>
                <w:sz w:val="21"/>
                <w:highlight w:val="none"/>
              </w:rPr>
            </w:pPr>
            <w:r>
              <w:rPr>
                <w:rFonts w:eastAsia="宋体"/>
                <w:sz w:val="21"/>
                <w:highlight w:val="none"/>
              </w:rPr>
              <w:t>2.2.4（3）</w:t>
            </w:r>
          </w:p>
        </w:tc>
        <w:tc>
          <w:tcPr>
            <w:tcW w:w="691"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34D21C">
            <w:pPr>
              <w:pStyle w:val="31"/>
              <w:spacing w:line="360" w:lineRule="auto"/>
              <w:jc w:val="center"/>
              <w:rPr>
                <w:rFonts w:eastAsia="宋体"/>
                <w:sz w:val="21"/>
                <w:highlight w:val="none"/>
              </w:rPr>
            </w:pPr>
            <w:r>
              <w:rPr>
                <w:rFonts w:eastAsia="宋体"/>
                <w:sz w:val="21"/>
                <w:highlight w:val="none"/>
              </w:rPr>
              <w:t>投标报价评分标准</w:t>
            </w: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7C5890">
            <w:pPr>
              <w:pStyle w:val="31"/>
              <w:spacing w:line="360" w:lineRule="auto"/>
              <w:rPr>
                <w:rFonts w:eastAsia="宋体"/>
                <w:sz w:val="21"/>
                <w:highlight w:val="none"/>
              </w:rPr>
            </w:pPr>
            <w:r>
              <w:rPr>
                <w:rFonts w:eastAsia="宋体"/>
                <w:sz w:val="21"/>
                <w:highlight w:val="none"/>
              </w:rPr>
              <w:t>投标报价（10分）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170BB9">
            <w:pPr>
              <w:pStyle w:val="31"/>
              <w:spacing w:line="360" w:lineRule="auto"/>
              <w:rPr>
                <w:rFonts w:hint="eastAsia" w:eastAsia="宋体"/>
                <w:sz w:val="21"/>
                <w:highlight w:val="none"/>
              </w:rPr>
            </w:pPr>
            <w:r>
              <w:rPr>
                <w:rFonts w:hint="eastAsia" w:eastAsia="宋体"/>
                <w:sz w:val="21"/>
                <w:highlight w:val="none"/>
              </w:rPr>
              <w:t>投标报价得分计算公式示例：</w:t>
            </w:r>
          </w:p>
          <w:p w14:paraId="35C27AAE">
            <w:pPr>
              <w:pStyle w:val="31"/>
              <w:spacing w:line="360" w:lineRule="auto"/>
              <w:rPr>
                <w:rFonts w:hint="eastAsia" w:eastAsia="宋体"/>
                <w:sz w:val="21"/>
                <w:highlight w:val="none"/>
              </w:rPr>
            </w:pPr>
            <w:r>
              <w:rPr>
                <w:rFonts w:hint="eastAsia" w:eastAsia="宋体"/>
                <w:sz w:val="21"/>
                <w:highlight w:val="none"/>
              </w:rPr>
              <w:t>(1)偏差率=100% ×(投标人评标价－评标基准价)/评标基准价</w:t>
            </w:r>
          </w:p>
          <w:p w14:paraId="12D35B88">
            <w:pPr>
              <w:pStyle w:val="31"/>
              <w:spacing w:line="360" w:lineRule="auto"/>
              <w:rPr>
                <w:rFonts w:hint="eastAsia" w:eastAsia="宋体"/>
                <w:sz w:val="21"/>
                <w:highlight w:val="none"/>
              </w:rPr>
            </w:pPr>
            <w:r>
              <w:rPr>
                <w:rFonts w:hint="eastAsia" w:eastAsia="宋体"/>
                <w:sz w:val="21"/>
                <w:highlight w:val="none"/>
              </w:rPr>
              <w:t>(2)如果投标人的评标价＞评标基准价，则评标</w:t>
            </w:r>
          </w:p>
          <w:p w14:paraId="676E19C4">
            <w:pPr>
              <w:pStyle w:val="31"/>
              <w:spacing w:line="360" w:lineRule="auto"/>
              <w:rPr>
                <w:rFonts w:hint="eastAsia" w:eastAsia="宋体"/>
                <w:sz w:val="21"/>
                <w:highlight w:val="none"/>
              </w:rPr>
            </w:pPr>
            <w:r>
              <w:rPr>
                <w:rFonts w:hint="eastAsia" w:eastAsia="宋体"/>
                <w:sz w:val="21"/>
                <w:highlight w:val="none"/>
              </w:rPr>
              <w:t>价得分＝F－偏差率×100× E1；</w:t>
            </w:r>
          </w:p>
          <w:p w14:paraId="46A43E8C">
            <w:pPr>
              <w:pStyle w:val="31"/>
              <w:spacing w:line="360" w:lineRule="auto"/>
              <w:rPr>
                <w:rFonts w:hint="eastAsia" w:eastAsia="宋体"/>
                <w:sz w:val="21"/>
                <w:highlight w:val="none"/>
              </w:rPr>
            </w:pPr>
            <w:r>
              <w:rPr>
                <w:rFonts w:hint="eastAsia" w:eastAsia="宋体"/>
                <w:sz w:val="21"/>
                <w:highlight w:val="none"/>
              </w:rPr>
              <w:t>(3)如果投标人的评标价≤评标基准价，则评标价得分＝F＋偏差率× 100× E2。</w:t>
            </w:r>
          </w:p>
          <w:p w14:paraId="251470DA">
            <w:pPr>
              <w:pStyle w:val="31"/>
              <w:spacing w:line="360" w:lineRule="auto"/>
              <w:rPr>
                <w:rFonts w:hint="eastAsia" w:eastAsia="宋体"/>
                <w:sz w:val="21"/>
                <w:highlight w:val="none"/>
              </w:rPr>
            </w:pPr>
            <w:r>
              <w:rPr>
                <w:rFonts w:hint="eastAsia" w:eastAsia="宋体"/>
                <w:sz w:val="21"/>
                <w:highlight w:val="none"/>
              </w:rPr>
              <w:t>其中F 是评标价所占的权重分值，E1 是评标价每高于评标基准价一个百分点的扣分值、E2 是评标价每低于评标基准价一个百分点的扣分值。F=10 ，E1= 0.5 ，E2= 0.4 。</w:t>
            </w:r>
          </w:p>
          <w:p w14:paraId="3AF1BDA2">
            <w:pPr>
              <w:pStyle w:val="31"/>
              <w:spacing w:line="360" w:lineRule="auto"/>
              <w:rPr>
                <w:rFonts w:eastAsia="宋体"/>
                <w:sz w:val="21"/>
                <w:highlight w:val="none"/>
              </w:rPr>
            </w:pPr>
            <w:r>
              <w:rPr>
                <w:rFonts w:hint="eastAsia" w:eastAsia="宋体"/>
                <w:sz w:val="21"/>
                <w:highlight w:val="none"/>
              </w:rPr>
              <w:t>(4)评标价得分最低分为 0 分。</w:t>
            </w:r>
          </w:p>
        </w:tc>
      </w:tr>
      <w:tr w14:paraId="414F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82F9165">
            <w:pPr>
              <w:pStyle w:val="31"/>
              <w:spacing w:line="360" w:lineRule="auto"/>
              <w:jc w:val="center"/>
              <w:rPr>
                <w:rFonts w:eastAsia="宋体"/>
                <w:sz w:val="21"/>
                <w:highlight w:val="none"/>
              </w:rPr>
            </w:pPr>
          </w:p>
        </w:tc>
        <w:tc>
          <w:tcPr>
            <w:tcW w:w="691"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66C6AC">
            <w:pPr>
              <w:pStyle w:val="31"/>
              <w:spacing w:line="360" w:lineRule="auto"/>
              <w:jc w:val="center"/>
              <w:rPr>
                <w:rFonts w:eastAsia="宋体"/>
                <w:sz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9AC9AF5">
            <w:pPr>
              <w:pStyle w:val="31"/>
              <w:spacing w:line="360" w:lineRule="auto"/>
              <w:rPr>
                <w:rFonts w:eastAsia="宋体"/>
                <w:sz w:val="21"/>
                <w:highlight w:val="none"/>
              </w:rPr>
            </w:pPr>
            <w:r>
              <w:rPr>
                <w:rFonts w:eastAsia="宋体"/>
                <w:sz w:val="21"/>
                <w:highlight w:val="none"/>
              </w:rPr>
              <w:t>政府采购与工程建设有关的服务的价格评审优惠</w:t>
            </w:r>
          </w:p>
          <w:p w14:paraId="5982C0F1">
            <w:pPr>
              <w:pStyle w:val="31"/>
              <w:spacing w:line="360" w:lineRule="auto"/>
              <w:rPr>
                <w:rFonts w:eastAsia="宋体"/>
                <w:sz w:val="21"/>
                <w:highlight w:val="none"/>
              </w:rPr>
            </w:pPr>
            <w:r>
              <w:rPr>
                <w:rFonts w:eastAsia="宋体"/>
                <w:sz w:val="21"/>
                <w:highlight w:val="none"/>
              </w:rPr>
              <w:t>（适用于投标报价评审未采用低价优先法）</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03E326">
            <w:pPr>
              <w:pStyle w:val="31"/>
              <w:spacing w:line="360" w:lineRule="auto"/>
              <w:rPr>
                <w:rFonts w:eastAsia="宋体"/>
                <w:sz w:val="21"/>
                <w:highlight w:val="none"/>
              </w:rPr>
            </w:pPr>
            <w:r>
              <w:rPr>
                <w:rFonts w:eastAsia="宋体"/>
                <w:sz w:val="21"/>
                <w:highlight w:val="none"/>
              </w:rPr>
              <w:t>对项目未预留份额专门面向中小企业采购的</w:t>
            </w:r>
          </w:p>
          <w:p w14:paraId="363433E9">
            <w:pPr>
              <w:pStyle w:val="31"/>
              <w:spacing w:line="360" w:lineRule="auto"/>
              <w:rPr>
                <w:rFonts w:eastAsia="宋体"/>
                <w:sz w:val="21"/>
                <w:highlight w:val="none"/>
              </w:rPr>
            </w:pPr>
            <w:r>
              <w:rPr>
                <w:rFonts w:eastAsia="宋体"/>
                <w:sz w:val="21"/>
                <w:highlight w:val="none"/>
              </w:rPr>
              <w:t>1.如投标人属于小微企业的，评标时在其投标报价得分的基础上增加  P%  作为其投标报价最终得分。</w:t>
            </w:r>
          </w:p>
          <w:p w14:paraId="0A34E519">
            <w:pPr>
              <w:pStyle w:val="31"/>
              <w:spacing w:line="360" w:lineRule="auto"/>
              <w:rPr>
                <w:rFonts w:eastAsia="宋体"/>
                <w:sz w:val="21"/>
                <w:highlight w:val="none"/>
              </w:rPr>
            </w:pPr>
            <w:r>
              <w:rPr>
                <w:rFonts w:eastAsia="宋体"/>
                <w:sz w:val="21"/>
                <w:highlight w:val="none"/>
              </w:rPr>
              <w:t>P：为小微企业报价优惠系数，范围为3-5的整数，由招标人确定。P的取值见第二章投标人须知前附表第9.3.1项。</w:t>
            </w:r>
          </w:p>
          <w:p w14:paraId="69D1CF1E">
            <w:pPr>
              <w:pStyle w:val="31"/>
              <w:spacing w:line="360" w:lineRule="auto"/>
              <w:rPr>
                <w:rFonts w:eastAsia="宋体"/>
                <w:sz w:val="21"/>
                <w:highlight w:val="none"/>
              </w:rPr>
            </w:pPr>
            <w:r>
              <w:rPr>
                <w:rFonts w:eastAsia="宋体"/>
                <w:sz w:val="21"/>
                <w:highlight w:val="none"/>
              </w:rPr>
              <w:t>如招标人接受联合体，联合体各方均为小微企业的，联合体视同小微企业。</w:t>
            </w:r>
          </w:p>
          <w:p w14:paraId="0D17B862">
            <w:pPr>
              <w:pStyle w:val="31"/>
              <w:spacing w:line="360" w:lineRule="auto"/>
              <w:rPr>
                <w:rFonts w:eastAsia="宋体"/>
                <w:sz w:val="21"/>
                <w:highlight w:val="none"/>
              </w:rPr>
            </w:pPr>
          </w:p>
          <w:p w14:paraId="01E9E0E2">
            <w:pPr>
              <w:pStyle w:val="31"/>
              <w:spacing w:line="360" w:lineRule="auto"/>
              <w:rPr>
                <w:rFonts w:eastAsia="宋体"/>
                <w:sz w:val="21"/>
                <w:highlight w:val="none"/>
              </w:rPr>
            </w:pPr>
            <w:r>
              <w:rPr>
                <w:rFonts w:eastAsia="宋体"/>
                <w:sz w:val="21"/>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  Q%  作为其投标报价最终得分。</w:t>
            </w:r>
          </w:p>
          <w:p w14:paraId="210BD301">
            <w:pPr>
              <w:pStyle w:val="31"/>
              <w:spacing w:line="360" w:lineRule="auto"/>
              <w:rPr>
                <w:rFonts w:eastAsia="宋体"/>
                <w:sz w:val="21"/>
                <w:highlight w:val="none"/>
              </w:rPr>
            </w:pPr>
            <w:r>
              <w:rPr>
                <w:rFonts w:eastAsia="宋体"/>
                <w:sz w:val="21"/>
                <w:highlight w:val="none"/>
              </w:rPr>
              <w:t>Q：为满足条件的联合体或者分包企业报价优惠系数，范围为1-2的整数，由招标人确定。Q的取值见第二章投标人须知前附表第9.3.2项。</w:t>
            </w:r>
          </w:p>
          <w:p w14:paraId="0D30788D">
            <w:pPr>
              <w:pStyle w:val="31"/>
              <w:spacing w:line="360" w:lineRule="auto"/>
              <w:rPr>
                <w:rFonts w:eastAsia="宋体"/>
                <w:sz w:val="21"/>
                <w:highlight w:val="none"/>
              </w:rPr>
            </w:pPr>
            <w:r>
              <w:rPr>
                <w:rFonts w:eastAsia="宋体"/>
                <w:sz w:val="21"/>
                <w:highlight w:val="none"/>
              </w:rPr>
              <w:t>3.组成联合体或者接受分包的小微企业与联合体内其他企业、分包企业之间存在直接控股、管理关系的，不享受价格评审优惠政策。</w:t>
            </w:r>
          </w:p>
        </w:tc>
      </w:tr>
      <w:tr w14:paraId="468B0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trPr>
        <w:tc>
          <w:tcPr>
            <w:tcW w:w="67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30F3F45">
            <w:pPr>
              <w:pStyle w:val="31"/>
              <w:spacing w:line="360" w:lineRule="auto"/>
              <w:jc w:val="center"/>
              <w:rPr>
                <w:rFonts w:eastAsia="宋体"/>
                <w:sz w:val="21"/>
                <w:highlight w:val="none"/>
              </w:rPr>
            </w:pPr>
          </w:p>
        </w:tc>
        <w:tc>
          <w:tcPr>
            <w:tcW w:w="691"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318AC6">
            <w:pPr>
              <w:pStyle w:val="31"/>
              <w:spacing w:line="360" w:lineRule="auto"/>
              <w:jc w:val="center"/>
              <w:rPr>
                <w:rFonts w:eastAsia="宋体"/>
                <w:sz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83F307">
            <w:pPr>
              <w:pStyle w:val="31"/>
              <w:spacing w:line="360" w:lineRule="auto"/>
              <w:rPr>
                <w:rFonts w:eastAsia="宋体"/>
                <w:sz w:val="21"/>
                <w:highlight w:val="none"/>
              </w:rPr>
            </w:pPr>
            <w:r>
              <w:rPr>
                <w:rFonts w:eastAsia="宋体"/>
                <w:sz w:val="21"/>
                <w:highlight w:val="none"/>
              </w:rPr>
              <w:t>政府采购与工程建设有关的服务的价格评审优惠</w:t>
            </w:r>
          </w:p>
          <w:p w14:paraId="3E7D1801">
            <w:pPr>
              <w:pStyle w:val="31"/>
              <w:spacing w:line="360" w:lineRule="auto"/>
              <w:rPr>
                <w:rFonts w:eastAsia="宋体"/>
                <w:sz w:val="21"/>
                <w:highlight w:val="none"/>
              </w:rPr>
            </w:pPr>
            <w:r>
              <w:rPr>
                <w:rFonts w:eastAsia="宋体"/>
                <w:sz w:val="21"/>
                <w:highlight w:val="none"/>
              </w:rPr>
              <w:t>（适用于投标报价评审采用低价优先法）</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32B5D5">
            <w:pPr>
              <w:pStyle w:val="31"/>
              <w:spacing w:line="360" w:lineRule="auto"/>
              <w:rPr>
                <w:rFonts w:eastAsia="宋体"/>
                <w:sz w:val="21"/>
                <w:highlight w:val="none"/>
              </w:rPr>
            </w:pPr>
            <w:r>
              <w:rPr>
                <w:rFonts w:eastAsia="宋体"/>
                <w:sz w:val="21"/>
                <w:highlight w:val="none"/>
              </w:rPr>
              <w:t>对项目未预留份额专门面向中小企业采购的</w:t>
            </w:r>
          </w:p>
          <w:p w14:paraId="6ECA0438">
            <w:pPr>
              <w:pStyle w:val="31"/>
              <w:spacing w:line="360" w:lineRule="auto"/>
              <w:rPr>
                <w:rFonts w:eastAsia="宋体"/>
                <w:sz w:val="21"/>
                <w:highlight w:val="none"/>
              </w:rPr>
            </w:pPr>
            <w:r>
              <w:rPr>
                <w:rFonts w:eastAsia="宋体"/>
                <w:sz w:val="21"/>
                <w:highlight w:val="none"/>
              </w:rPr>
              <w:t>1.如投标人属于小微企业的，评标时在其投标价格基础上给予  P%  的扣除，用扣除后的价格参加投标报价得分评审的计算。</w:t>
            </w:r>
          </w:p>
          <w:p w14:paraId="5CFDAB35">
            <w:pPr>
              <w:pStyle w:val="31"/>
              <w:spacing w:line="360" w:lineRule="auto"/>
              <w:rPr>
                <w:rFonts w:eastAsia="宋体"/>
                <w:sz w:val="21"/>
                <w:highlight w:val="none"/>
              </w:rPr>
            </w:pPr>
            <w:r>
              <w:rPr>
                <w:rFonts w:eastAsia="宋体"/>
                <w:sz w:val="21"/>
                <w:highlight w:val="none"/>
              </w:rPr>
              <w:t>P：为小微企业报价扣除系数，范围为3-5的整数，由招标人确定。P的取值见第二章投标人须知前附表第9.3.1项。</w:t>
            </w:r>
          </w:p>
          <w:p w14:paraId="7B349A43">
            <w:pPr>
              <w:pStyle w:val="31"/>
              <w:spacing w:line="360" w:lineRule="auto"/>
              <w:rPr>
                <w:rFonts w:eastAsia="宋体"/>
                <w:sz w:val="21"/>
                <w:highlight w:val="none"/>
              </w:rPr>
            </w:pPr>
            <w:r>
              <w:rPr>
                <w:rFonts w:eastAsia="宋体"/>
                <w:sz w:val="21"/>
                <w:highlight w:val="none"/>
              </w:rPr>
              <w:t>如招标人接受联合体，联合体各方均为小微企业的，联合体视同小微企业。</w:t>
            </w:r>
          </w:p>
          <w:p w14:paraId="7A12FA29">
            <w:pPr>
              <w:pStyle w:val="31"/>
              <w:spacing w:line="360" w:lineRule="auto"/>
              <w:rPr>
                <w:rFonts w:eastAsia="宋体"/>
                <w:sz w:val="21"/>
                <w:highlight w:val="none"/>
              </w:rPr>
            </w:pPr>
            <w:r>
              <w:rPr>
                <w:rFonts w:eastAsia="宋体"/>
                <w:sz w:val="21"/>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30%以上的，评标时在其投标价格基础上给予  Q%  的扣除，用扣除后的价格参加投标报价得分评审的计算。</w:t>
            </w:r>
          </w:p>
          <w:p w14:paraId="54D596C0">
            <w:pPr>
              <w:pStyle w:val="31"/>
              <w:spacing w:line="360" w:lineRule="auto"/>
              <w:rPr>
                <w:rFonts w:eastAsia="宋体"/>
                <w:sz w:val="21"/>
                <w:highlight w:val="none"/>
              </w:rPr>
            </w:pPr>
            <w:r>
              <w:rPr>
                <w:rFonts w:eastAsia="宋体"/>
                <w:sz w:val="21"/>
                <w:highlight w:val="none"/>
              </w:rPr>
              <w:t>Q：为满足条件的联合体或者分包企业报价扣除系数，范围为1-2的整数，由招标人确定。Q的取值见第二章投标人须知前附表第9.3.2项。</w:t>
            </w:r>
          </w:p>
          <w:p w14:paraId="75079842">
            <w:pPr>
              <w:pStyle w:val="31"/>
              <w:spacing w:line="360" w:lineRule="auto"/>
              <w:rPr>
                <w:rFonts w:eastAsia="宋体"/>
                <w:sz w:val="21"/>
                <w:highlight w:val="none"/>
              </w:rPr>
            </w:pPr>
            <w:r>
              <w:rPr>
                <w:rFonts w:eastAsia="宋体"/>
                <w:sz w:val="21"/>
                <w:highlight w:val="none"/>
              </w:rPr>
              <w:t>3.组成联合体或者接受分包的小微企业与联合体内其他企业、分包企业之间存在直接控股、管理关系的，不享受价格扣除政策。</w:t>
            </w:r>
          </w:p>
        </w:tc>
      </w:tr>
      <w:tr w14:paraId="124E3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536D8EE6">
            <w:pPr>
              <w:pStyle w:val="31"/>
              <w:spacing w:line="360" w:lineRule="auto"/>
              <w:jc w:val="center"/>
              <w:rPr>
                <w:rFonts w:eastAsia="宋体"/>
                <w:sz w:val="21"/>
                <w:szCs w:val="21"/>
                <w:highlight w:val="none"/>
              </w:rPr>
            </w:pPr>
            <w:r>
              <w:rPr>
                <w:rFonts w:ascii="Times New Roman" w:hAnsi="Times New Roman"/>
                <w:kern w:val="0"/>
                <w:sz w:val="21"/>
                <w:szCs w:val="21"/>
                <w:highlight w:val="none"/>
              </w:rPr>
              <w:t>2.2.4（4）</w:t>
            </w:r>
          </w:p>
        </w:tc>
        <w:tc>
          <w:tcPr>
            <w:tcW w:w="691"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7E5DE230">
            <w:pPr>
              <w:pStyle w:val="31"/>
              <w:spacing w:line="360" w:lineRule="auto"/>
              <w:jc w:val="center"/>
              <w:rPr>
                <w:rFonts w:eastAsia="宋体"/>
                <w:sz w:val="21"/>
                <w:szCs w:val="21"/>
                <w:highlight w:val="none"/>
              </w:rPr>
            </w:pPr>
            <w:r>
              <w:rPr>
                <w:rFonts w:ascii="Times New Roman" w:hAnsi="Times New Roman"/>
                <w:sz w:val="21"/>
                <w:szCs w:val="21"/>
                <w:highlight w:val="none"/>
              </w:rPr>
              <w:t>其他因素评分标准</w:t>
            </w: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097C77">
            <w:pPr>
              <w:pStyle w:val="31"/>
              <w:spacing w:line="360" w:lineRule="auto"/>
              <w:rPr>
                <w:rFonts w:eastAsia="宋体"/>
                <w:sz w:val="21"/>
                <w:szCs w:val="21"/>
                <w:highlight w:val="none"/>
              </w:rPr>
            </w:pPr>
            <w:r>
              <w:rPr>
                <w:rStyle w:val="25"/>
                <w:rFonts w:ascii="宋体" w:hAnsi="宋体" w:eastAsia="宋体" w:cs="宋体"/>
                <w:b w:val="0"/>
                <w:kern w:val="2"/>
                <w:sz w:val="21"/>
                <w:szCs w:val="24"/>
                <w:lang w:val="en-US" w:eastAsia="zh-CN"/>
              </w:rPr>
              <w:t>重大偏差</w:t>
            </w:r>
            <w:r>
              <w:rPr>
                <w:rFonts w:eastAsia="宋体"/>
                <w:sz w:val="21"/>
                <w:highlight w:val="none"/>
              </w:rPr>
              <w:t>复核（0分）</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07419E">
            <w:pPr>
              <w:pStyle w:val="31"/>
              <w:spacing w:line="360" w:lineRule="auto"/>
              <w:rPr>
                <w:rFonts w:eastAsia="宋体"/>
                <w:sz w:val="21"/>
                <w:szCs w:val="21"/>
                <w:highlight w:val="none"/>
              </w:rPr>
            </w:pPr>
            <w:r>
              <w:rPr>
                <w:rFonts w:hint="eastAsia" w:eastAsia="宋体"/>
                <w:sz w:val="21"/>
              </w:rPr>
              <w:t>评标委员会应逐项复核招标公告附录 5《重大偏差一览表》所列情形的，投标人出现未列入上表情形的不属于重大偏差，按细微偏差处理，评标委员会不得因细微偏差否决投标。</w:t>
            </w:r>
          </w:p>
        </w:tc>
      </w:tr>
      <w:tr w14:paraId="70FEC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402A087B">
            <w:pPr>
              <w:pStyle w:val="31"/>
              <w:spacing w:line="360" w:lineRule="auto"/>
              <w:jc w:val="center"/>
              <w:rPr>
                <w:rFonts w:ascii="Times New Roman" w:hAnsi="Times New Roman"/>
                <w:kern w:val="0"/>
                <w:sz w:val="21"/>
                <w:szCs w:val="21"/>
                <w:highlight w:val="none"/>
              </w:rPr>
            </w:pPr>
            <w:bookmarkStart w:id="268" w:name="EBa7c0a6391e9940a4912725696284a2cc"/>
          </w:p>
        </w:tc>
        <w:tc>
          <w:tcPr>
            <w:tcW w:w="691"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40011BD6">
            <w:pPr>
              <w:pStyle w:val="31"/>
              <w:spacing w:line="360" w:lineRule="auto"/>
              <w:jc w:val="center"/>
              <w:rPr>
                <w:rFonts w:ascii="Times New Roman" w:hAnsi="Times New Roman"/>
                <w:sz w:val="21"/>
                <w:szCs w:val="21"/>
                <w:highlight w:val="none"/>
              </w:rPr>
            </w:pPr>
          </w:p>
        </w:tc>
        <w:tc>
          <w:tcPr>
            <w:tcW w:w="11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DAD3B3">
            <w:pPr>
              <w:pStyle w:val="31"/>
              <w:spacing w:line="360" w:lineRule="auto"/>
              <w:rPr>
                <w:rFonts w:ascii="Times New Roman" w:hAnsi="Times New Roman"/>
                <w:sz w:val="21"/>
                <w:szCs w:val="21"/>
                <w:highlight w:val="none"/>
              </w:rPr>
            </w:pPr>
            <w:r>
              <w:rPr>
                <w:rStyle w:val="25"/>
                <w:rFonts w:ascii="宋体" w:hAnsi="宋体" w:eastAsia="宋体" w:cs="宋体"/>
                <w:b w:val="0"/>
                <w:kern w:val="2"/>
                <w:sz w:val="21"/>
                <w:szCs w:val="24"/>
                <w:highlight w:val="none"/>
                <w:lang w:val="en-US" w:eastAsia="zh-CN"/>
              </w:rPr>
              <w:t>其他说明</w:t>
            </w:r>
          </w:p>
        </w:tc>
        <w:tc>
          <w:tcPr>
            <w:tcW w:w="597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C483FEE">
            <w:pPr>
              <w:pStyle w:val="31"/>
              <w:spacing w:line="360" w:lineRule="auto"/>
              <w:rPr>
                <w:rFonts w:ascii="Times New Roman" w:hAnsi="Times New Roman"/>
                <w:sz w:val="21"/>
                <w:szCs w:val="21"/>
                <w:highlight w:val="none"/>
              </w:rPr>
            </w:pPr>
            <w:r>
              <w:rPr>
                <w:rStyle w:val="25"/>
                <w:rFonts w:ascii="宋体" w:hAnsi="宋体" w:eastAsia="宋体" w:cs="宋体"/>
                <w:b w:val="0"/>
                <w:kern w:val="2"/>
                <w:sz w:val="21"/>
                <w:szCs w:val="24"/>
                <w:highlight w:val="none"/>
                <w:lang w:val="en-US" w:eastAsia="zh-CN"/>
              </w:rPr>
              <w:t>本项目不属于政府采购工程，评标办法前附表2.2.4（3）投标报价评分标准中政府采购与工程建设有关的服务的价格评审优惠相关条款不适用。</w:t>
            </w:r>
          </w:p>
        </w:tc>
      </w:tr>
      <w:bookmarkEnd w:id="267"/>
    </w:tbl>
    <w:p w14:paraId="1DF460EC">
      <w:pPr>
        <w:rPr>
          <w:rFonts w:ascii="Times New Roman" w:hAnsi="Times New Roman"/>
          <w:highlight w:val="none"/>
        </w:rPr>
      </w:pPr>
      <w:r>
        <w:rPr>
          <w:rFonts w:ascii="Times New Roman" w:hAnsi="Times New Roman"/>
          <w:color w:val="000080"/>
          <w:sz w:val="20"/>
          <w:highlight w:val="none"/>
        </w:rPr>
        <w:t xml:space="preserve"> </w:t>
      </w:r>
      <w:bookmarkEnd w:id="268"/>
    </w:p>
    <w:p w14:paraId="73F915ED">
      <w:pPr>
        <w:keepNext w:val="0"/>
        <w:keepLines w:val="0"/>
        <w:widowControl w:val="0"/>
        <w:spacing w:before="260" w:after="260" w:line="413" w:lineRule="auto"/>
        <w:ind w:firstLine="0" w:firstLineChars="0"/>
        <w:jc w:val="both"/>
        <w:outlineLvl w:val="1"/>
        <w:rPr>
          <w:rFonts w:ascii="Times New Roman" w:hAnsi="Times New Roman" w:eastAsia="黑体" w:cs="Times New Roman"/>
          <w:bCs/>
          <w:kern w:val="2"/>
          <w:sz w:val="28"/>
          <w:szCs w:val="32"/>
          <w:highlight w:val="none"/>
          <w:lang w:val="en-US" w:eastAsia="zh-CN" w:bidi="ar-SA"/>
        </w:rPr>
      </w:pPr>
      <w:bookmarkStart w:id="269" w:name="_Toc140053111"/>
      <w:bookmarkStart w:id="270" w:name="_Toc5420"/>
      <w:bookmarkStart w:id="271" w:name="_Toc16254"/>
      <w:bookmarkStart w:id="272" w:name="_Toc256000018"/>
      <w:r>
        <w:rPr>
          <w:rFonts w:ascii="Times New Roman" w:hAnsi="Times New Roman" w:eastAsia="黑体" w:cs="Times New Roman"/>
          <w:bCs/>
          <w:kern w:val="2"/>
          <w:sz w:val="28"/>
          <w:szCs w:val="32"/>
          <w:highlight w:val="none"/>
          <w:lang w:val="en-US" w:eastAsia="zh-CN" w:bidi="ar-SA"/>
        </w:rPr>
        <w:br w:type="page"/>
      </w:r>
      <w:bookmarkStart w:id="273" w:name="_Toc10405"/>
      <w:r>
        <w:rPr>
          <w:rFonts w:ascii="Times New Roman" w:hAnsi="Times New Roman" w:eastAsia="黑体" w:cs="Times New Roman"/>
          <w:bCs/>
          <w:kern w:val="2"/>
          <w:sz w:val="28"/>
          <w:szCs w:val="32"/>
          <w:highlight w:val="none"/>
          <w:lang w:val="en-US" w:eastAsia="zh-CN" w:bidi="ar-SA"/>
        </w:rPr>
        <w:t>1. 评标方法</w:t>
      </w:r>
      <w:bookmarkEnd w:id="269"/>
      <w:bookmarkEnd w:id="270"/>
      <w:bookmarkEnd w:id="271"/>
      <w:bookmarkEnd w:id="272"/>
      <w:bookmarkEnd w:id="273"/>
    </w:p>
    <w:p w14:paraId="434B8FF6">
      <w:pPr>
        <w:ind w:firstLine="420"/>
        <w:rPr>
          <w:rFonts w:hint="eastAsia" w:ascii="Times New Roman" w:hAnsi="Times New Roman"/>
          <w:highlight w:val="white"/>
        </w:rPr>
      </w:pPr>
      <w:r>
        <w:rPr>
          <w:rFonts w:hint="eastAsia" w:ascii="Times New Roman" w:hAnsi="Times New Roman"/>
          <w:highlight w:val="white"/>
        </w:rPr>
        <w:t>本次评标采用综合评估法。评标委员会可借助计算机辅助评标系统，对满足招标文件实质性要求的投标文件，按照本章第 2.2 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p>
    <w:p w14:paraId="50216B38">
      <w:pPr>
        <w:ind w:firstLine="420"/>
        <w:rPr>
          <w:rFonts w:hint="eastAsia" w:ascii="Times New Roman" w:hAnsi="Times New Roman"/>
          <w:highlight w:val="white"/>
        </w:rPr>
      </w:pPr>
    </w:p>
    <w:p w14:paraId="73862935">
      <w:pPr>
        <w:ind w:firstLine="420"/>
        <w:rPr>
          <w:rFonts w:hint="eastAsia" w:ascii="Times New Roman" w:hAnsi="Times New Roman"/>
          <w:highlight w:val="white"/>
        </w:rPr>
      </w:pPr>
      <w:r>
        <w:rPr>
          <w:rFonts w:hint="eastAsia" w:ascii="Times New Roman" w:hAnsi="Times New Roman"/>
          <w:highlight w:val="white"/>
        </w:rPr>
        <w:t>2.评审标准</w:t>
      </w:r>
    </w:p>
    <w:p w14:paraId="415E28F5">
      <w:pPr>
        <w:ind w:firstLine="420"/>
        <w:rPr>
          <w:rFonts w:hint="eastAsia" w:ascii="Times New Roman" w:hAnsi="Times New Roman"/>
          <w:highlight w:val="white"/>
        </w:rPr>
      </w:pPr>
      <w:r>
        <w:rPr>
          <w:rFonts w:hint="eastAsia" w:ascii="Times New Roman" w:hAnsi="Times New Roman"/>
          <w:highlight w:val="white"/>
        </w:rPr>
        <w:t>2.1初步评审标准</w:t>
      </w:r>
    </w:p>
    <w:p w14:paraId="041149C9">
      <w:pPr>
        <w:ind w:firstLine="420"/>
        <w:rPr>
          <w:rFonts w:hint="eastAsia" w:ascii="Times New Roman" w:hAnsi="Times New Roman"/>
          <w:highlight w:val="white"/>
        </w:rPr>
      </w:pPr>
      <w:r>
        <w:rPr>
          <w:rFonts w:hint="eastAsia" w:ascii="Times New Roman" w:hAnsi="Times New Roman"/>
          <w:highlight w:val="white"/>
        </w:rPr>
        <w:t>2.1.1形式评审标准：见评标办法前附表。</w:t>
      </w:r>
    </w:p>
    <w:p w14:paraId="63349CBD">
      <w:pPr>
        <w:ind w:firstLine="420"/>
        <w:rPr>
          <w:rFonts w:hint="eastAsia" w:ascii="Times New Roman" w:hAnsi="Times New Roman"/>
          <w:highlight w:val="white"/>
        </w:rPr>
      </w:pPr>
      <w:r>
        <w:rPr>
          <w:rFonts w:hint="eastAsia" w:ascii="Times New Roman" w:hAnsi="Times New Roman"/>
          <w:highlight w:val="white"/>
        </w:rPr>
        <w:t>2.1.2资格评审标准：见评标办法前附表。</w:t>
      </w:r>
    </w:p>
    <w:p w14:paraId="71748488">
      <w:pPr>
        <w:ind w:firstLine="420"/>
        <w:rPr>
          <w:rFonts w:hint="eastAsia" w:ascii="Times New Roman" w:hAnsi="Times New Roman"/>
          <w:highlight w:val="white"/>
        </w:rPr>
      </w:pPr>
      <w:r>
        <w:rPr>
          <w:rFonts w:hint="eastAsia" w:ascii="Times New Roman" w:hAnsi="Times New Roman"/>
          <w:highlight w:val="white"/>
        </w:rPr>
        <w:t>2.1.3响应性评审标准：见评标办法前附表。</w:t>
      </w:r>
    </w:p>
    <w:p w14:paraId="449B5608">
      <w:pPr>
        <w:ind w:firstLine="420"/>
        <w:rPr>
          <w:rFonts w:hint="eastAsia" w:ascii="Times New Roman" w:hAnsi="Times New Roman"/>
          <w:highlight w:val="white"/>
        </w:rPr>
      </w:pPr>
      <w:r>
        <w:rPr>
          <w:rFonts w:hint="eastAsia" w:ascii="Times New Roman" w:hAnsi="Times New Roman"/>
          <w:highlight w:val="white"/>
        </w:rPr>
        <w:t>2.2分值构成与评分标准</w:t>
      </w:r>
    </w:p>
    <w:p w14:paraId="3D6CA295">
      <w:pPr>
        <w:ind w:firstLine="420"/>
        <w:rPr>
          <w:rFonts w:hint="eastAsia" w:ascii="Times New Roman" w:hAnsi="Times New Roman"/>
          <w:highlight w:val="white"/>
        </w:rPr>
      </w:pPr>
      <w:r>
        <w:rPr>
          <w:rFonts w:hint="eastAsia" w:ascii="Times New Roman" w:hAnsi="Times New Roman"/>
          <w:highlight w:val="white"/>
        </w:rPr>
        <w:t>2.2.1分值构成</w:t>
      </w:r>
    </w:p>
    <w:p w14:paraId="2C371E67">
      <w:pPr>
        <w:ind w:firstLine="420"/>
        <w:rPr>
          <w:rFonts w:hint="eastAsia" w:ascii="Times New Roman" w:hAnsi="Times New Roman"/>
          <w:highlight w:val="white"/>
        </w:rPr>
      </w:pPr>
      <w:r>
        <w:rPr>
          <w:rFonts w:hint="eastAsia" w:ascii="Times New Roman" w:hAnsi="Times New Roman"/>
          <w:highlight w:val="white"/>
        </w:rPr>
        <w:t>（1）资信业绩部分：见评标办法前附表；</w:t>
      </w:r>
    </w:p>
    <w:p w14:paraId="7868EE12">
      <w:pPr>
        <w:ind w:firstLine="420"/>
        <w:rPr>
          <w:rFonts w:hint="eastAsia" w:ascii="Times New Roman" w:hAnsi="Times New Roman"/>
          <w:highlight w:val="white"/>
        </w:rPr>
      </w:pPr>
      <w:r>
        <w:rPr>
          <w:rFonts w:hint="eastAsia" w:ascii="Times New Roman" w:hAnsi="Times New Roman"/>
          <w:highlight w:val="white"/>
        </w:rPr>
        <w:t>（2）技术建议书部分：见评标办法前附表；</w:t>
      </w:r>
    </w:p>
    <w:p w14:paraId="141DBD28">
      <w:pPr>
        <w:ind w:firstLine="420"/>
        <w:rPr>
          <w:rFonts w:hint="eastAsia" w:ascii="Times New Roman" w:hAnsi="Times New Roman"/>
          <w:highlight w:val="white"/>
        </w:rPr>
      </w:pPr>
      <w:r>
        <w:rPr>
          <w:rFonts w:hint="eastAsia" w:ascii="Times New Roman" w:hAnsi="Times New Roman"/>
          <w:highlight w:val="white"/>
        </w:rPr>
        <w:t>（3）投标报价：见评标办法前附表；</w:t>
      </w:r>
    </w:p>
    <w:p w14:paraId="5894E176">
      <w:pPr>
        <w:ind w:firstLine="420"/>
        <w:rPr>
          <w:rFonts w:hint="eastAsia" w:ascii="Times New Roman" w:hAnsi="Times New Roman"/>
          <w:highlight w:val="white"/>
        </w:rPr>
      </w:pPr>
      <w:r>
        <w:rPr>
          <w:rFonts w:hint="eastAsia" w:ascii="Times New Roman" w:hAnsi="Times New Roman"/>
          <w:highlight w:val="white"/>
        </w:rPr>
        <w:t>（4）其他评分因素：见评标办法前附表。</w:t>
      </w:r>
    </w:p>
    <w:p w14:paraId="4B6FC0C9">
      <w:pPr>
        <w:ind w:firstLine="420"/>
        <w:rPr>
          <w:rFonts w:hint="eastAsia" w:ascii="Times New Roman" w:hAnsi="Times New Roman"/>
          <w:highlight w:val="white"/>
        </w:rPr>
      </w:pPr>
      <w:r>
        <w:rPr>
          <w:rFonts w:hint="eastAsia" w:ascii="Times New Roman" w:hAnsi="Times New Roman"/>
          <w:highlight w:val="white"/>
        </w:rPr>
        <w:t>2.2.2评标基准价计算</w:t>
      </w:r>
    </w:p>
    <w:p w14:paraId="5CF02BB5">
      <w:pPr>
        <w:ind w:firstLine="420"/>
        <w:rPr>
          <w:rFonts w:hint="eastAsia" w:ascii="Times New Roman" w:hAnsi="Times New Roman"/>
          <w:highlight w:val="white"/>
        </w:rPr>
      </w:pPr>
      <w:r>
        <w:rPr>
          <w:rFonts w:hint="eastAsia" w:ascii="Times New Roman" w:hAnsi="Times New Roman"/>
          <w:highlight w:val="white"/>
        </w:rPr>
        <w:t>评标基准价计算方法：见评标办法前附表。</w:t>
      </w:r>
    </w:p>
    <w:p w14:paraId="1F185DA7">
      <w:pPr>
        <w:ind w:firstLine="420"/>
        <w:rPr>
          <w:rFonts w:hint="eastAsia" w:ascii="Times New Roman" w:hAnsi="Times New Roman"/>
          <w:highlight w:val="white"/>
        </w:rPr>
      </w:pPr>
      <w:r>
        <w:rPr>
          <w:rFonts w:hint="eastAsia" w:ascii="Times New Roman" w:hAnsi="Times New Roman"/>
          <w:highlight w:val="white"/>
        </w:rPr>
        <w:t>2.2.3投标报价的偏差率计算</w:t>
      </w:r>
    </w:p>
    <w:p w14:paraId="471850CB">
      <w:pPr>
        <w:ind w:firstLine="420"/>
        <w:rPr>
          <w:rFonts w:hint="eastAsia" w:ascii="Times New Roman" w:hAnsi="Times New Roman"/>
          <w:highlight w:val="white"/>
        </w:rPr>
      </w:pPr>
      <w:r>
        <w:rPr>
          <w:rFonts w:hint="eastAsia" w:ascii="Times New Roman" w:hAnsi="Times New Roman"/>
          <w:highlight w:val="white"/>
        </w:rPr>
        <w:t>投标报价的偏差率计算公式：见评标办法前附表。</w:t>
      </w:r>
    </w:p>
    <w:p w14:paraId="2699DEF5">
      <w:pPr>
        <w:ind w:firstLine="420"/>
        <w:rPr>
          <w:rFonts w:hint="eastAsia" w:ascii="Times New Roman" w:hAnsi="Times New Roman"/>
          <w:highlight w:val="white"/>
        </w:rPr>
      </w:pPr>
      <w:r>
        <w:rPr>
          <w:rFonts w:hint="eastAsia" w:ascii="Times New Roman" w:hAnsi="Times New Roman"/>
          <w:highlight w:val="white"/>
        </w:rPr>
        <w:t>2.2.4评分标准</w:t>
      </w:r>
    </w:p>
    <w:p w14:paraId="5D65ADE6">
      <w:pPr>
        <w:ind w:firstLine="420"/>
        <w:rPr>
          <w:rFonts w:hint="eastAsia" w:ascii="Times New Roman" w:hAnsi="Times New Roman"/>
          <w:highlight w:val="white"/>
        </w:rPr>
      </w:pPr>
      <w:r>
        <w:rPr>
          <w:rFonts w:hint="eastAsia" w:ascii="Times New Roman" w:hAnsi="Times New Roman"/>
          <w:highlight w:val="white"/>
        </w:rPr>
        <w:t>（1）资信业绩评分标准：见评标办法前附表；</w:t>
      </w:r>
    </w:p>
    <w:p w14:paraId="1B648FB5">
      <w:pPr>
        <w:ind w:firstLine="420"/>
        <w:rPr>
          <w:rFonts w:hint="eastAsia" w:ascii="Times New Roman" w:hAnsi="Times New Roman"/>
          <w:highlight w:val="white"/>
        </w:rPr>
      </w:pPr>
      <w:r>
        <w:rPr>
          <w:rFonts w:hint="eastAsia" w:ascii="Times New Roman" w:hAnsi="Times New Roman"/>
          <w:highlight w:val="white"/>
        </w:rPr>
        <w:t>（2）技术建议书评分标准：见评标办法前附表；</w:t>
      </w:r>
    </w:p>
    <w:p w14:paraId="41018985">
      <w:pPr>
        <w:ind w:firstLine="420"/>
        <w:rPr>
          <w:rFonts w:hint="eastAsia" w:ascii="Times New Roman" w:hAnsi="Times New Roman"/>
          <w:highlight w:val="white"/>
        </w:rPr>
      </w:pPr>
      <w:r>
        <w:rPr>
          <w:rFonts w:hint="eastAsia" w:ascii="Times New Roman" w:hAnsi="Times New Roman"/>
          <w:highlight w:val="white"/>
        </w:rPr>
        <w:t>（3）投标报价评分标准：见评标办法前附表；</w:t>
      </w:r>
    </w:p>
    <w:p w14:paraId="3B10FFBD">
      <w:pPr>
        <w:ind w:firstLine="420"/>
        <w:rPr>
          <w:rFonts w:hint="eastAsia" w:ascii="Times New Roman" w:hAnsi="Times New Roman"/>
          <w:highlight w:val="white"/>
        </w:rPr>
      </w:pPr>
      <w:r>
        <w:rPr>
          <w:rFonts w:hint="eastAsia" w:ascii="Times New Roman" w:hAnsi="Times New Roman"/>
          <w:highlight w:val="white"/>
        </w:rPr>
        <w:t>（4）其他因素评分标准：见评标办法前附表。</w:t>
      </w:r>
    </w:p>
    <w:p w14:paraId="54BFC059">
      <w:pPr>
        <w:ind w:firstLine="420"/>
        <w:rPr>
          <w:rFonts w:hint="eastAsia" w:ascii="Times New Roman" w:hAnsi="Times New Roman"/>
          <w:highlight w:val="white"/>
        </w:rPr>
      </w:pPr>
      <w:r>
        <w:rPr>
          <w:rFonts w:hint="eastAsia" w:ascii="Times New Roman" w:hAnsi="Times New Roman"/>
          <w:highlight w:val="white"/>
        </w:rPr>
        <w:t>3.评标程序</w:t>
      </w:r>
    </w:p>
    <w:p w14:paraId="75A6DD16">
      <w:pPr>
        <w:ind w:firstLine="420"/>
        <w:rPr>
          <w:rFonts w:hint="eastAsia" w:ascii="Times New Roman" w:hAnsi="Times New Roman"/>
          <w:highlight w:val="white"/>
        </w:rPr>
      </w:pPr>
      <w:r>
        <w:rPr>
          <w:rFonts w:hint="eastAsia" w:ascii="Times New Roman" w:hAnsi="Times New Roman"/>
          <w:highlight w:val="white"/>
        </w:rPr>
        <w:t>3.1初步评审</w:t>
      </w:r>
    </w:p>
    <w:p w14:paraId="36FA3618">
      <w:pPr>
        <w:ind w:firstLine="420"/>
        <w:rPr>
          <w:rFonts w:hint="eastAsia" w:ascii="Times New Roman" w:hAnsi="Times New Roman"/>
          <w:highlight w:val="white"/>
        </w:rPr>
      </w:pPr>
      <w:r>
        <w:rPr>
          <w:rFonts w:hint="eastAsia" w:ascii="Times New Roman" w:hAnsi="Times New Roman"/>
          <w:highlight w:val="white"/>
        </w:rPr>
        <w:t>3.1.1评标委员会可以要求投标人提交第二章“投标人须知”规定的有关证明和证件的原件， 以便核验。评标委员会依据本章第 2.1 款规定的标准对投标文件进行初步评审。有一项不符合评审标准的，评标委员会应否决其投标。</w:t>
      </w:r>
    </w:p>
    <w:p w14:paraId="6F3B0576">
      <w:pPr>
        <w:ind w:firstLine="420"/>
        <w:rPr>
          <w:rFonts w:hint="eastAsia" w:ascii="Times New Roman" w:hAnsi="Times New Roman"/>
          <w:highlight w:val="white"/>
        </w:rPr>
      </w:pPr>
      <w:r>
        <w:rPr>
          <w:rFonts w:hint="eastAsia" w:ascii="Times New Roman" w:hAnsi="Times New Roman"/>
          <w:highlight w:val="white"/>
        </w:rPr>
        <w:t>3.1.2投标人有以下情形之一的，评标委员会应当否决其投标：</w:t>
      </w:r>
    </w:p>
    <w:p w14:paraId="6F482CD0">
      <w:pPr>
        <w:ind w:firstLine="420"/>
        <w:rPr>
          <w:rFonts w:hint="eastAsia" w:ascii="Times New Roman" w:hAnsi="Times New Roman"/>
          <w:highlight w:val="white"/>
        </w:rPr>
      </w:pPr>
      <w:r>
        <w:rPr>
          <w:rFonts w:hint="eastAsia" w:ascii="Times New Roman" w:hAnsi="Times New Roman"/>
          <w:highlight w:val="white"/>
        </w:rPr>
        <w:t>（1）不按评标委员会要求澄清、说明或补正的；</w:t>
      </w:r>
    </w:p>
    <w:p w14:paraId="58406CFC">
      <w:pPr>
        <w:ind w:firstLine="420"/>
        <w:rPr>
          <w:rFonts w:hint="eastAsia" w:ascii="Times New Roman" w:hAnsi="Times New Roman"/>
          <w:highlight w:val="white"/>
        </w:rPr>
      </w:pPr>
      <w:r>
        <w:rPr>
          <w:rFonts w:hint="eastAsia" w:ascii="Times New Roman" w:hAnsi="Times New Roman"/>
          <w:highlight w:val="white"/>
        </w:rPr>
        <w:t>（2）有串通投标、弄虚作假、行贿等违法行为。</w:t>
      </w:r>
    </w:p>
    <w:p w14:paraId="7A47093A">
      <w:pPr>
        <w:ind w:firstLine="420"/>
        <w:rPr>
          <w:rFonts w:hint="eastAsia" w:ascii="Times New Roman" w:hAnsi="Times New Roman"/>
          <w:highlight w:val="white"/>
        </w:rPr>
      </w:pPr>
      <w:r>
        <w:rPr>
          <w:rFonts w:hint="eastAsia" w:ascii="Times New Roman" w:hAnsi="Times New Roman"/>
          <w:highlight w:val="white"/>
        </w:rPr>
        <w:t>1）有下列情形之一的，属于投标人相互串通投标：</w:t>
      </w:r>
    </w:p>
    <w:p w14:paraId="4934DDF5">
      <w:pPr>
        <w:ind w:firstLine="420"/>
        <w:rPr>
          <w:rFonts w:hint="eastAsia" w:ascii="Times New Roman" w:hAnsi="Times New Roman"/>
          <w:highlight w:val="white"/>
        </w:rPr>
      </w:pPr>
      <w:r>
        <w:rPr>
          <w:rFonts w:hint="eastAsia" w:ascii="Times New Roman" w:hAnsi="Times New Roman"/>
          <w:highlight w:val="white"/>
        </w:rPr>
        <w:t>a.投标人之间协商投标报价等投标文件的实质性内容； b.投标人之间约定中标人；</w:t>
      </w:r>
    </w:p>
    <w:p w14:paraId="0DFA5F31">
      <w:pPr>
        <w:ind w:firstLine="420"/>
        <w:rPr>
          <w:rFonts w:hint="eastAsia" w:ascii="Times New Roman" w:hAnsi="Times New Roman"/>
          <w:highlight w:val="white"/>
        </w:rPr>
      </w:pPr>
      <w:r>
        <w:rPr>
          <w:rFonts w:hint="eastAsia" w:ascii="Times New Roman" w:hAnsi="Times New Roman"/>
          <w:highlight w:val="white"/>
        </w:rPr>
        <w:t>c.投标人之间约定部分投标人放弃投标或中标；</w:t>
      </w:r>
    </w:p>
    <w:p w14:paraId="74B3301E">
      <w:pPr>
        <w:ind w:firstLine="420"/>
        <w:rPr>
          <w:rFonts w:hint="eastAsia" w:ascii="Times New Roman" w:hAnsi="Times New Roman"/>
          <w:highlight w:val="white"/>
        </w:rPr>
      </w:pPr>
      <w:r>
        <w:rPr>
          <w:rFonts w:hint="eastAsia" w:ascii="Times New Roman" w:hAnsi="Times New Roman"/>
          <w:highlight w:val="white"/>
        </w:rPr>
        <w:t>d.属于同一集团、协会、商会等组织成员的投标人按照该组织要求协同投标； e.投标人之间为谋取中标或排斥特定投标人而采取的其他联合行动。 2）有下列情形之一的，视为投标人相互串通投标：</w:t>
      </w:r>
    </w:p>
    <w:p w14:paraId="0A54905D">
      <w:pPr>
        <w:ind w:firstLine="420"/>
        <w:rPr>
          <w:rFonts w:hint="eastAsia" w:ascii="Times New Roman" w:hAnsi="Times New Roman"/>
          <w:highlight w:val="white"/>
        </w:rPr>
      </w:pPr>
      <w:r>
        <w:rPr>
          <w:rFonts w:hint="eastAsia" w:ascii="Times New Roman" w:hAnsi="Times New Roman"/>
          <w:highlight w:val="white"/>
        </w:rPr>
        <w:t>a.不同投标人的投标文件由同一单位或个人编制； b.不同投标人委托同一单位或个人办理投标事宜；</w:t>
      </w:r>
    </w:p>
    <w:p w14:paraId="3ECB488E">
      <w:pPr>
        <w:ind w:firstLine="420"/>
        <w:rPr>
          <w:rFonts w:hint="eastAsia" w:ascii="Times New Roman" w:hAnsi="Times New Roman"/>
          <w:highlight w:val="white"/>
        </w:rPr>
      </w:pPr>
      <w:r>
        <w:rPr>
          <w:rFonts w:hint="eastAsia" w:ascii="Times New Roman" w:hAnsi="Times New Roman"/>
          <w:highlight w:val="white"/>
        </w:rPr>
        <w:t>c.不同投标人的投标文件载明的项目管理成员为同一人；</w:t>
      </w:r>
    </w:p>
    <w:p w14:paraId="112B82CE">
      <w:pPr>
        <w:ind w:firstLine="420"/>
        <w:rPr>
          <w:rFonts w:hint="eastAsia" w:ascii="Times New Roman" w:hAnsi="Times New Roman"/>
          <w:highlight w:val="white"/>
        </w:rPr>
      </w:pPr>
      <w:r>
        <w:rPr>
          <w:rFonts w:hint="eastAsia" w:ascii="Times New Roman" w:hAnsi="Times New Roman"/>
          <w:highlight w:val="white"/>
        </w:rPr>
        <w:t>d.不同投标人的投标文件异常一致或投标报价呈规律性差异； e.不同投标人的投标文件相互混装；</w:t>
      </w:r>
    </w:p>
    <w:p w14:paraId="55C873DD">
      <w:pPr>
        <w:ind w:firstLine="420"/>
        <w:rPr>
          <w:rFonts w:hint="eastAsia" w:ascii="Times New Roman" w:hAnsi="Times New Roman"/>
          <w:highlight w:val="white"/>
        </w:rPr>
      </w:pPr>
      <w:r>
        <w:rPr>
          <w:rFonts w:hint="eastAsia" w:ascii="Times New Roman" w:hAnsi="Times New Roman"/>
          <w:highlight w:val="white"/>
        </w:rPr>
        <w:t>f.不同投标人的投标保证金从同一单位或个人的账户转出；</w:t>
      </w:r>
    </w:p>
    <w:p w14:paraId="58D4F7ED">
      <w:pPr>
        <w:ind w:firstLine="420"/>
        <w:rPr>
          <w:rFonts w:hint="eastAsia" w:ascii="Times New Roman" w:hAnsi="Times New Roman"/>
          <w:highlight w:val="white"/>
        </w:rPr>
      </w:pPr>
      <w:r>
        <w:rPr>
          <w:rFonts w:hint="eastAsia" w:ascii="Times New Roman" w:hAnsi="Times New Roman"/>
          <w:highlight w:val="white"/>
        </w:rPr>
        <w:t>g.不同投标人的投标文件存在“文件创建标识码”、“文件制作机器码”一致等情形。 3）有下列情形之一的，属于招标人与投标人串通投标：</w:t>
      </w:r>
    </w:p>
    <w:p w14:paraId="57D0C4E4">
      <w:pPr>
        <w:ind w:firstLine="420"/>
        <w:rPr>
          <w:rFonts w:hint="eastAsia" w:ascii="Times New Roman" w:hAnsi="Times New Roman"/>
          <w:highlight w:val="white"/>
        </w:rPr>
      </w:pPr>
      <w:r>
        <w:rPr>
          <w:rFonts w:hint="eastAsia" w:ascii="Times New Roman" w:hAnsi="Times New Roman"/>
          <w:highlight w:val="white"/>
        </w:rPr>
        <w:t>a.招标人在开标前开启投标文件并将有关信息泄露给其他投标人；</w:t>
      </w:r>
    </w:p>
    <w:p w14:paraId="0D738CB0">
      <w:pPr>
        <w:ind w:firstLine="420"/>
        <w:rPr>
          <w:rFonts w:hint="eastAsia" w:ascii="Times New Roman" w:hAnsi="Times New Roman"/>
          <w:highlight w:val="white"/>
        </w:rPr>
      </w:pPr>
      <w:r>
        <w:rPr>
          <w:rFonts w:hint="eastAsia" w:ascii="Times New Roman" w:hAnsi="Times New Roman"/>
          <w:highlight w:val="white"/>
        </w:rPr>
        <w:t>b.招标人直接或间接向投标人泄露标底、评标委员会成员等信息；</w:t>
      </w:r>
    </w:p>
    <w:p w14:paraId="4594BBF4">
      <w:pPr>
        <w:ind w:firstLine="420"/>
        <w:rPr>
          <w:rFonts w:hint="eastAsia" w:ascii="Times New Roman" w:hAnsi="Times New Roman"/>
          <w:highlight w:val="white"/>
        </w:rPr>
      </w:pPr>
    </w:p>
    <w:p w14:paraId="3EA90197">
      <w:pPr>
        <w:ind w:firstLine="420"/>
        <w:rPr>
          <w:rFonts w:hint="eastAsia" w:ascii="Times New Roman" w:hAnsi="Times New Roman"/>
          <w:highlight w:val="white"/>
        </w:rPr>
      </w:pPr>
      <w:r>
        <w:rPr>
          <w:rFonts w:hint="eastAsia" w:ascii="Times New Roman" w:hAnsi="Times New Roman"/>
          <w:highlight w:val="white"/>
        </w:rPr>
        <w:t>c.招标人明示或暗示投标人压低或抬高投标报价； d.招标人授意投标人撤换、修改投标文件；</w:t>
      </w:r>
    </w:p>
    <w:p w14:paraId="7AC4E54B">
      <w:pPr>
        <w:ind w:firstLine="420"/>
        <w:rPr>
          <w:rFonts w:hint="eastAsia" w:ascii="Times New Roman" w:hAnsi="Times New Roman"/>
          <w:highlight w:val="white"/>
        </w:rPr>
      </w:pPr>
      <w:r>
        <w:rPr>
          <w:rFonts w:hint="eastAsia" w:ascii="Times New Roman" w:hAnsi="Times New Roman"/>
          <w:highlight w:val="white"/>
        </w:rPr>
        <w:t>e.招标人明示或暗示投标人为特定投标人中标提供方便；</w:t>
      </w:r>
    </w:p>
    <w:p w14:paraId="64CC1259">
      <w:pPr>
        <w:ind w:firstLine="420"/>
        <w:rPr>
          <w:rFonts w:hint="eastAsia" w:ascii="Times New Roman" w:hAnsi="Times New Roman"/>
          <w:highlight w:val="white"/>
        </w:rPr>
      </w:pPr>
      <w:r>
        <w:rPr>
          <w:rFonts w:hint="eastAsia" w:ascii="Times New Roman" w:hAnsi="Times New Roman"/>
          <w:highlight w:val="white"/>
        </w:rPr>
        <w:t>f.招标人与投标人为谋求特定投标人中标而采取的其他串通行为。</w:t>
      </w:r>
    </w:p>
    <w:p w14:paraId="5948D9CB">
      <w:pPr>
        <w:ind w:firstLine="420"/>
        <w:rPr>
          <w:rFonts w:hint="eastAsia" w:ascii="Times New Roman" w:hAnsi="Times New Roman"/>
          <w:highlight w:val="white"/>
        </w:rPr>
      </w:pPr>
      <w:r>
        <w:rPr>
          <w:rFonts w:hint="eastAsia" w:ascii="Times New Roman" w:hAnsi="Times New Roman"/>
          <w:highlight w:val="white"/>
        </w:rPr>
        <w:t>4）投标人有下列情形之一的，属于弄虚作假的行为：</w:t>
      </w:r>
    </w:p>
    <w:p w14:paraId="294685E9">
      <w:pPr>
        <w:ind w:firstLine="420"/>
        <w:rPr>
          <w:rFonts w:hint="eastAsia" w:ascii="Times New Roman" w:hAnsi="Times New Roman"/>
          <w:highlight w:val="white"/>
        </w:rPr>
      </w:pPr>
      <w:r>
        <w:rPr>
          <w:rFonts w:hint="eastAsia" w:ascii="Times New Roman" w:hAnsi="Times New Roman"/>
          <w:highlight w:val="white"/>
        </w:rPr>
        <w:t>a.使用通过受让或租借等方式获取的资格、资质证书投标； b.使用伪造、变造的许可证件；</w:t>
      </w:r>
    </w:p>
    <w:p w14:paraId="19D58E99">
      <w:pPr>
        <w:ind w:firstLine="420"/>
        <w:rPr>
          <w:rFonts w:hint="eastAsia" w:ascii="Times New Roman" w:hAnsi="Times New Roman"/>
          <w:highlight w:val="white"/>
        </w:rPr>
      </w:pPr>
      <w:r>
        <w:rPr>
          <w:rFonts w:hint="eastAsia" w:ascii="Times New Roman" w:hAnsi="Times New Roman"/>
          <w:highlight w:val="white"/>
        </w:rPr>
        <w:t>c.提供虚假的业绩；</w:t>
      </w:r>
    </w:p>
    <w:p w14:paraId="4BE55AF9">
      <w:pPr>
        <w:ind w:firstLine="420"/>
        <w:rPr>
          <w:rFonts w:hint="eastAsia" w:ascii="Times New Roman" w:hAnsi="Times New Roman"/>
          <w:highlight w:val="white"/>
        </w:rPr>
      </w:pPr>
      <w:r>
        <w:rPr>
          <w:rFonts w:hint="eastAsia" w:ascii="Times New Roman" w:hAnsi="Times New Roman"/>
          <w:highlight w:val="white"/>
        </w:rPr>
        <w:t>d.提供虚假的项目负责人或主要技术人员简历、劳动关系证明； e.提供虚假的信用状况；</w:t>
      </w:r>
    </w:p>
    <w:p w14:paraId="03BC9833">
      <w:pPr>
        <w:ind w:firstLine="420"/>
        <w:rPr>
          <w:rFonts w:hint="eastAsia" w:ascii="Times New Roman" w:hAnsi="Times New Roman"/>
          <w:highlight w:val="white"/>
        </w:rPr>
      </w:pPr>
      <w:r>
        <w:rPr>
          <w:rFonts w:hint="eastAsia" w:ascii="Times New Roman" w:hAnsi="Times New Roman"/>
          <w:highlight w:val="white"/>
        </w:rPr>
        <w:t>f.其他弄虚作假的行为。</w:t>
      </w:r>
    </w:p>
    <w:p w14:paraId="7EF35CFB">
      <w:pPr>
        <w:ind w:firstLine="420"/>
        <w:rPr>
          <w:rFonts w:hint="eastAsia" w:ascii="Times New Roman" w:hAnsi="Times New Roman"/>
          <w:highlight w:val="white"/>
        </w:rPr>
      </w:pPr>
      <w:r>
        <w:rPr>
          <w:rFonts w:hint="eastAsia" w:ascii="Times New Roman" w:hAnsi="Times New Roman"/>
          <w:highlight w:val="white"/>
        </w:rPr>
        <w:t>3.1.3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711FAFFE">
      <w:pPr>
        <w:ind w:firstLine="420"/>
        <w:rPr>
          <w:rFonts w:hint="eastAsia" w:ascii="Times New Roman" w:hAnsi="Times New Roman"/>
          <w:highlight w:val="white"/>
        </w:rPr>
      </w:pPr>
      <w:r>
        <w:rPr>
          <w:rFonts w:hint="eastAsia" w:ascii="Times New Roman" w:hAnsi="Times New Roman"/>
          <w:highlight w:val="white"/>
        </w:rPr>
        <w:t>（1）投标文件中的大写金额与小写金额不一致的，以大写金额为准；</w:t>
      </w:r>
    </w:p>
    <w:p w14:paraId="66AD89F5">
      <w:pPr>
        <w:ind w:firstLine="420"/>
        <w:rPr>
          <w:rFonts w:hint="eastAsia" w:ascii="Times New Roman" w:hAnsi="Times New Roman"/>
          <w:highlight w:val="white"/>
        </w:rPr>
      </w:pPr>
      <w:r>
        <w:rPr>
          <w:rFonts w:hint="eastAsia" w:ascii="Times New Roman" w:hAnsi="Times New Roman"/>
          <w:highlight w:val="white"/>
        </w:rPr>
        <w:t>（2）总价金额与依据单价计算出的结果不一致的，以单价金额为准修正总价，但单价金额小数点有明显错误的除外。</w:t>
      </w:r>
    </w:p>
    <w:p w14:paraId="1226E981">
      <w:pPr>
        <w:ind w:firstLine="420"/>
        <w:rPr>
          <w:rFonts w:hint="eastAsia" w:ascii="Times New Roman" w:hAnsi="Times New Roman"/>
          <w:highlight w:val="white"/>
        </w:rPr>
      </w:pPr>
      <w:r>
        <w:rPr>
          <w:rFonts w:hint="eastAsia" w:ascii="Times New Roman" w:hAnsi="Times New Roman"/>
          <w:highlight w:val="white"/>
        </w:rPr>
        <w:t>3.1.4评标委员会发现投标人的报价明显低于其他投标报价，使得其投标报价可能低于</w:t>
      </w:r>
    </w:p>
    <w:p w14:paraId="6F94A664">
      <w:pPr>
        <w:ind w:firstLine="420"/>
        <w:rPr>
          <w:rFonts w:hint="eastAsia" w:ascii="Times New Roman" w:hAnsi="Times New Roman"/>
          <w:highlight w:val="white"/>
        </w:rPr>
      </w:pPr>
      <w:r>
        <w:rPr>
          <w:rFonts w:hint="eastAsia" w:ascii="Times New Roman" w:hAnsi="Times New Roman"/>
          <w:highlight w:val="white"/>
        </w:rPr>
        <w:t>其个别成本的，应要求该投标人作出书面说明并提供相应的证明材料。投标人不能合理说明或不能提供相应证明材料的，评标委员会应认定该投标人以低于成本报价竞标，并否决其投标。</w:t>
      </w:r>
    </w:p>
    <w:p w14:paraId="62D60B25">
      <w:pPr>
        <w:ind w:firstLine="420"/>
        <w:rPr>
          <w:rFonts w:hint="eastAsia" w:ascii="Times New Roman" w:hAnsi="Times New Roman"/>
          <w:highlight w:val="white"/>
        </w:rPr>
      </w:pPr>
      <w:r>
        <w:rPr>
          <w:rFonts w:hint="eastAsia" w:ascii="Times New Roman" w:hAnsi="Times New Roman"/>
          <w:highlight w:val="white"/>
        </w:rPr>
        <w:t>3.1.5评标委员会否决不合格投标后，因有效投标不足三个使得投标明显缺乏竞争的，评标委员会可以否决全部投标。评标委员会应当对投标是否明显缺乏竞争和是否需要否决全部投标进行充分论证，并在评标报告中记载论证过程和结果。</w:t>
      </w:r>
    </w:p>
    <w:p w14:paraId="37891471">
      <w:pPr>
        <w:ind w:firstLine="420"/>
        <w:rPr>
          <w:rFonts w:hint="eastAsia" w:ascii="Times New Roman" w:hAnsi="Times New Roman"/>
          <w:highlight w:val="white"/>
        </w:rPr>
      </w:pPr>
      <w:r>
        <w:rPr>
          <w:rFonts w:hint="eastAsia" w:ascii="Times New Roman" w:hAnsi="Times New Roman"/>
          <w:highlight w:val="white"/>
        </w:rPr>
        <w:t>3.2详细评审</w:t>
      </w:r>
    </w:p>
    <w:p w14:paraId="5CEA8684">
      <w:pPr>
        <w:ind w:firstLine="420"/>
        <w:rPr>
          <w:rFonts w:hint="eastAsia" w:ascii="Times New Roman" w:hAnsi="Times New Roman"/>
          <w:highlight w:val="white"/>
        </w:rPr>
      </w:pPr>
      <w:r>
        <w:rPr>
          <w:rFonts w:hint="eastAsia" w:ascii="Times New Roman" w:hAnsi="Times New Roman"/>
          <w:highlight w:val="white"/>
        </w:rPr>
        <w:t>3.2.1评标委员会按本章第 2.2 款规定的量化因素和分值进行打分，并计算出各投标人的综合评估得分。</w:t>
      </w:r>
    </w:p>
    <w:p w14:paraId="5DB7422B">
      <w:pPr>
        <w:ind w:firstLine="420"/>
        <w:rPr>
          <w:rFonts w:hint="eastAsia" w:ascii="Times New Roman" w:hAnsi="Times New Roman"/>
          <w:highlight w:val="white"/>
        </w:rPr>
      </w:pPr>
      <w:r>
        <w:rPr>
          <w:rFonts w:hint="eastAsia" w:ascii="Times New Roman" w:hAnsi="Times New Roman"/>
          <w:highlight w:val="white"/>
        </w:rPr>
        <w:t>（1）按本章第 2.2.4 项（1）目规定的评审因素和分值对资信业绩部分计算出得分 A；</w:t>
      </w:r>
    </w:p>
    <w:p w14:paraId="5229502B">
      <w:pPr>
        <w:ind w:firstLine="420"/>
        <w:rPr>
          <w:rFonts w:hint="eastAsia" w:ascii="Times New Roman" w:hAnsi="Times New Roman"/>
          <w:highlight w:val="white"/>
        </w:rPr>
      </w:pPr>
      <w:r>
        <w:rPr>
          <w:rFonts w:hint="eastAsia" w:ascii="Times New Roman" w:hAnsi="Times New Roman"/>
          <w:highlight w:val="white"/>
        </w:rPr>
        <w:t>（2）按本章第 2.2.4 项（2）目规定的评审因素和分值对技术建议书部分计算出得分 B；</w:t>
      </w:r>
    </w:p>
    <w:p w14:paraId="576A65D3">
      <w:pPr>
        <w:ind w:firstLine="420"/>
        <w:rPr>
          <w:rFonts w:hint="eastAsia" w:ascii="Times New Roman" w:hAnsi="Times New Roman"/>
          <w:highlight w:val="white"/>
        </w:rPr>
      </w:pPr>
      <w:r>
        <w:rPr>
          <w:rFonts w:hint="eastAsia" w:ascii="Times New Roman" w:hAnsi="Times New Roman"/>
          <w:highlight w:val="white"/>
        </w:rPr>
        <w:t>（3）按本章第 2.2.4 项（3）目规定的评审因素和分值对投标报价计算出得分 C；</w:t>
      </w:r>
    </w:p>
    <w:p w14:paraId="66A7C3BE">
      <w:pPr>
        <w:ind w:firstLine="420"/>
        <w:rPr>
          <w:rFonts w:hint="eastAsia" w:ascii="Times New Roman" w:hAnsi="Times New Roman"/>
          <w:highlight w:val="white"/>
        </w:rPr>
      </w:pPr>
      <w:r>
        <w:rPr>
          <w:rFonts w:hint="eastAsia" w:ascii="Times New Roman" w:hAnsi="Times New Roman"/>
          <w:highlight w:val="white"/>
        </w:rPr>
        <w:t>（4）按本章第 2.2.4 项（4）目规定的评审因素和分值对其他部分计算出得分 D；</w:t>
      </w:r>
    </w:p>
    <w:p w14:paraId="65DA0DC0">
      <w:pPr>
        <w:ind w:firstLine="420"/>
        <w:rPr>
          <w:rFonts w:hint="eastAsia" w:ascii="Times New Roman" w:hAnsi="Times New Roman"/>
          <w:highlight w:val="white"/>
        </w:rPr>
      </w:pPr>
      <w:r>
        <w:rPr>
          <w:rFonts w:hint="eastAsia" w:ascii="Times New Roman" w:hAnsi="Times New Roman"/>
          <w:highlight w:val="white"/>
        </w:rPr>
        <w:t>3.2.2评分分值计算保留小数点后两位，小数点后第三位“四舍五入”。</w:t>
      </w:r>
    </w:p>
    <w:p w14:paraId="168380C0">
      <w:pPr>
        <w:ind w:firstLine="420"/>
        <w:rPr>
          <w:rFonts w:hint="eastAsia" w:ascii="Times New Roman" w:hAnsi="Times New Roman"/>
          <w:highlight w:val="white"/>
        </w:rPr>
      </w:pPr>
      <w:r>
        <w:rPr>
          <w:rFonts w:hint="eastAsia" w:ascii="Times New Roman" w:hAnsi="Times New Roman"/>
          <w:highlight w:val="white"/>
        </w:rPr>
        <w:t>3.2.3投标人的综合得分=A+B+C+D。</w:t>
      </w:r>
    </w:p>
    <w:p w14:paraId="663F4D4E">
      <w:pPr>
        <w:ind w:firstLine="420"/>
        <w:rPr>
          <w:rFonts w:hint="eastAsia" w:ascii="Times New Roman" w:hAnsi="Times New Roman"/>
          <w:highlight w:val="white"/>
        </w:rPr>
      </w:pPr>
      <w:r>
        <w:rPr>
          <w:rFonts w:hint="eastAsia" w:ascii="Times New Roman" w:hAnsi="Times New Roman"/>
          <w:highlight w:val="white"/>
        </w:rPr>
        <w:t>3.2.4各投标人最终综合评估得分的确定办法为：所有评标委员会成员的综合评分去掉一个最高分和一个最低分之后的算术平均值。</w:t>
      </w:r>
    </w:p>
    <w:p w14:paraId="5A46E25B">
      <w:pPr>
        <w:ind w:firstLine="420"/>
        <w:rPr>
          <w:rFonts w:hint="eastAsia" w:ascii="Times New Roman" w:hAnsi="Times New Roman"/>
          <w:highlight w:val="white"/>
        </w:rPr>
      </w:pPr>
      <w:r>
        <w:rPr>
          <w:rFonts w:hint="eastAsia" w:ascii="Times New Roman" w:hAnsi="Times New Roman"/>
          <w:highlight w:val="white"/>
        </w:rPr>
        <w:t>3.3投标文件的澄清</w:t>
      </w:r>
    </w:p>
    <w:p w14:paraId="38E8C3FD">
      <w:pPr>
        <w:ind w:firstLine="420"/>
        <w:rPr>
          <w:rFonts w:hint="eastAsia" w:ascii="Times New Roman" w:hAnsi="Times New Roman"/>
          <w:highlight w:val="white"/>
        </w:rPr>
      </w:pPr>
      <w:r>
        <w:rPr>
          <w:rFonts w:hint="eastAsia" w:ascii="Times New Roman" w:hAnsi="Times New Roman"/>
          <w:highlight w:val="white"/>
        </w:rPr>
        <w:t>3.3.1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1F9C64F1">
      <w:pPr>
        <w:ind w:firstLine="420"/>
        <w:rPr>
          <w:rFonts w:hint="eastAsia" w:ascii="Times New Roman" w:hAnsi="Times New Roman"/>
          <w:highlight w:val="white"/>
        </w:rPr>
      </w:pPr>
      <w:r>
        <w:rPr>
          <w:rFonts w:hint="eastAsia" w:ascii="Times New Roman" w:hAnsi="Times New Roman"/>
          <w:highlight w:val="white"/>
        </w:rPr>
        <w:t>3.3.2澄清、说明或补正不得超出投标文件的范围或改变投标文件的实质性内容(算术性错误的修正除外)。投标人的书面澄清、说明或补正构成投标文件的组成部分。</w:t>
      </w:r>
    </w:p>
    <w:p w14:paraId="457C7E50">
      <w:pPr>
        <w:ind w:firstLine="420"/>
        <w:rPr>
          <w:rFonts w:hint="eastAsia" w:ascii="Times New Roman" w:hAnsi="Times New Roman"/>
          <w:highlight w:val="white"/>
        </w:rPr>
      </w:pPr>
      <w:r>
        <w:rPr>
          <w:rFonts w:hint="eastAsia" w:ascii="Times New Roman" w:hAnsi="Times New Roman"/>
          <w:highlight w:val="white"/>
        </w:rPr>
        <w:t>3.3.3评标委员会对投标人提交的澄清、说明或补正有疑问的，可以要求投标人进一步澄清、说明或补正，直至满足评标委员会的要求。</w:t>
      </w:r>
    </w:p>
    <w:p w14:paraId="4C323ED2">
      <w:pPr>
        <w:ind w:firstLine="420"/>
        <w:rPr>
          <w:rFonts w:hint="eastAsia" w:ascii="Times New Roman" w:hAnsi="Times New Roman"/>
          <w:highlight w:val="white"/>
        </w:rPr>
      </w:pPr>
      <w:r>
        <w:rPr>
          <w:rFonts w:hint="eastAsia" w:ascii="Times New Roman" w:hAnsi="Times New Roman"/>
          <w:highlight w:val="white"/>
        </w:rPr>
        <w:t>3.3.4评标委员会要求投标人对投标文件问题澄清的通知，以及投标人对投标文件的澄</w:t>
      </w:r>
    </w:p>
    <w:p w14:paraId="42EE1CBD">
      <w:pPr>
        <w:ind w:firstLine="420"/>
        <w:rPr>
          <w:rFonts w:hint="eastAsia" w:ascii="Times New Roman" w:hAnsi="Times New Roman"/>
          <w:highlight w:val="white"/>
        </w:rPr>
      </w:pPr>
    </w:p>
    <w:p w14:paraId="42E9F398">
      <w:pPr>
        <w:ind w:firstLine="420"/>
        <w:rPr>
          <w:rFonts w:hint="eastAsia" w:ascii="Times New Roman" w:hAnsi="Times New Roman"/>
          <w:highlight w:val="white"/>
        </w:rPr>
      </w:pPr>
      <w:r>
        <w:rPr>
          <w:rFonts w:hint="eastAsia" w:ascii="Times New Roman" w:hAnsi="Times New Roman"/>
          <w:highlight w:val="white"/>
        </w:rPr>
        <w:t>清、说明或补正通过“电子交易平台”“投标文件澄清”菜单以书面形式进行。</w:t>
      </w:r>
    </w:p>
    <w:p w14:paraId="28A38187">
      <w:pPr>
        <w:ind w:firstLine="420"/>
        <w:rPr>
          <w:rFonts w:hint="eastAsia" w:ascii="Times New Roman" w:hAnsi="Times New Roman"/>
          <w:highlight w:val="white"/>
        </w:rPr>
      </w:pPr>
      <w:r>
        <w:rPr>
          <w:rFonts w:hint="eastAsia" w:ascii="Times New Roman" w:hAnsi="Times New Roman"/>
          <w:highlight w:val="white"/>
        </w:rPr>
        <w:t>3.4评标结果</w:t>
      </w:r>
    </w:p>
    <w:p w14:paraId="6740E53D">
      <w:pPr>
        <w:ind w:firstLine="420"/>
        <w:rPr>
          <w:rFonts w:hint="eastAsia" w:ascii="Times New Roman" w:hAnsi="Times New Roman"/>
          <w:highlight w:val="white"/>
        </w:rPr>
      </w:pPr>
      <w:r>
        <w:rPr>
          <w:rFonts w:hint="eastAsia" w:ascii="Times New Roman" w:hAnsi="Times New Roman"/>
          <w:highlight w:val="white"/>
        </w:rPr>
        <w:t>3.4.1除第二章“投标人须知”前附表第 7.4 款授权直接确定中标人外，评标委员会按照得分由高到低的顺序推荐中标候选人，并标明排序。</w:t>
      </w:r>
    </w:p>
    <w:p w14:paraId="11937D4C">
      <w:pPr>
        <w:ind w:firstLine="420"/>
        <w:rPr>
          <w:rFonts w:hint="eastAsia" w:ascii="Times New Roman" w:hAnsi="Times New Roman"/>
          <w:highlight w:val="white"/>
        </w:rPr>
      </w:pPr>
      <w:r>
        <w:rPr>
          <w:rFonts w:hint="eastAsia" w:ascii="Times New Roman" w:hAnsi="Times New Roman"/>
          <w:highlight w:val="white"/>
        </w:rPr>
        <w:t>3.4.2招标文件允许多标段投标、多标段中标的，各标段中标候选人（中标人）的推荐按第二章“投标人须知” 第 9.2 款规定执行。</w:t>
      </w:r>
    </w:p>
    <w:p w14:paraId="5739E300">
      <w:pPr>
        <w:ind w:firstLine="420"/>
        <w:rPr>
          <w:rFonts w:hint="eastAsia" w:ascii="Times New Roman" w:hAnsi="Times New Roman"/>
          <w:highlight w:val="white"/>
        </w:rPr>
      </w:pPr>
      <w:r>
        <w:rPr>
          <w:rFonts w:hint="eastAsia" w:ascii="Times New Roman" w:hAnsi="Times New Roman"/>
          <w:highlight w:val="white"/>
        </w:rPr>
        <w:t>3.4.3评标委员会完成评标后，应向招标人提交书面评标报告。</w:t>
      </w:r>
    </w:p>
    <w:p w14:paraId="56E20DDE">
      <w:pPr>
        <w:ind w:firstLine="420"/>
        <w:rPr>
          <w:rFonts w:hint="eastAsia" w:ascii="Times New Roman" w:hAnsi="Times New Roman"/>
          <w:highlight w:val="white"/>
        </w:rPr>
      </w:pPr>
      <w:r>
        <w:rPr>
          <w:rFonts w:hint="eastAsia" w:ascii="Times New Roman" w:hAnsi="Times New Roman"/>
          <w:highlight w:val="white"/>
        </w:rPr>
        <w:t>3.4.4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524E70D9">
      <w:pPr>
        <w:ind w:firstLine="420"/>
        <w:rPr>
          <w:rFonts w:hint="eastAsia" w:ascii="Times New Roman" w:hAnsi="Times New Roman"/>
          <w:highlight w:val="white"/>
        </w:rPr>
      </w:pPr>
      <w:r>
        <w:rPr>
          <w:rFonts w:hint="eastAsia" w:ascii="Times New Roman" w:hAnsi="Times New Roman"/>
          <w:highlight w:val="white"/>
        </w:rPr>
        <w:t>3.4.5评标监督人员或评标委员会成员在评标活动中有不正当言行的，评标委员会应当</w:t>
      </w:r>
    </w:p>
    <w:p w14:paraId="0CA2E997">
      <w:pPr>
        <w:ind w:firstLine="420"/>
        <w:rPr>
          <w:rFonts w:hint="eastAsia" w:ascii="Times New Roman" w:hAnsi="Times New Roman"/>
          <w:highlight w:val="white"/>
        </w:rPr>
      </w:pPr>
      <w:r>
        <w:rPr>
          <w:rFonts w:hint="eastAsia" w:ascii="Times New Roman" w:hAnsi="Times New Roman"/>
          <w:highlight w:val="white"/>
        </w:rPr>
        <w:t>在评标报告中如实记录。</w:t>
      </w:r>
    </w:p>
    <w:p w14:paraId="69213006">
      <w:pPr>
        <w:keepNext w:val="0"/>
        <w:keepLines w:val="0"/>
        <w:widowControl w:val="0"/>
        <w:spacing w:before="340" w:after="330" w:line="576" w:lineRule="auto"/>
        <w:ind w:firstLine="0" w:firstLineChars="0"/>
        <w:jc w:val="center"/>
        <w:outlineLvl w:val="0"/>
        <w:rPr>
          <w:rFonts w:ascii="Times New Roman" w:hAnsi="Times New Roman" w:eastAsia="宋体" w:cs="Times New Roman"/>
          <w:b/>
          <w:bCs/>
          <w:kern w:val="44"/>
          <w:sz w:val="44"/>
          <w:szCs w:val="44"/>
          <w:lang w:val="en-US" w:eastAsia="zh-CN" w:bidi="ar-SA"/>
        </w:rPr>
      </w:pPr>
      <w:r>
        <w:rPr>
          <w:rFonts w:ascii="Times New Roman" w:hAnsi="Times New Roman" w:eastAsia="宋体" w:cs="Times New Roman"/>
          <w:b/>
          <w:bCs/>
          <w:kern w:val="44"/>
          <w:sz w:val="44"/>
          <w:szCs w:val="44"/>
          <w:highlight w:val="white"/>
          <w:lang w:val="en-US" w:eastAsia="zh-CN" w:bidi="ar-SA"/>
        </w:rPr>
        <w:br w:type="page"/>
      </w:r>
      <w:bookmarkStart w:id="274" w:name="_Toc16862"/>
      <w:bookmarkStart w:id="275" w:name="_Toc23540"/>
      <w:bookmarkStart w:id="276" w:name="_Toc256000021"/>
      <w:bookmarkStart w:id="277" w:name="_Toc9263"/>
      <w:bookmarkStart w:id="278" w:name="_Toc140053114"/>
      <w:r>
        <w:rPr>
          <w:rFonts w:ascii="Times New Roman" w:hAnsi="Times New Roman" w:eastAsia="宋体" w:cs="Times New Roman"/>
          <w:b/>
          <w:bCs/>
          <w:kern w:val="44"/>
          <w:sz w:val="44"/>
          <w:szCs w:val="44"/>
          <w:highlight w:val="white"/>
          <w:lang w:val="en-US" w:eastAsia="zh-CN" w:bidi="ar-SA"/>
        </w:rPr>
        <w:t>第四章 合同条款及格式</w:t>
      </w:r>
      <w:bookmarkEnd w:id="274"/>
      <w:bookmarkEnd w:id="275"/>
      <w:bookmarkEnd w:id="276"/>
      <w:bookmarkEnd w:id="277"/>
      <w:bookmarkEnd w:id="278"/>
    </w:p>
    <w:p w14:paraId="10B5BC3D">
      <w:pPr>
        <w:spacing w:line="360" w:lineRule="auto"/>
        <w:ind w:firstLine="420"/>
        <w:rPr>
          <w:sz w:val="24"/>
          <w:szCs w:val="28"/>
          <w:highlight w:val="none"/>
        </w:rPr>
        <w:sectPr>
          <w:headerReference r:id="rId9" w:type="default"/>
          <w:footerReference r:id="rId10" w:type="default"/>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bookmarkStart w:id="279" w:name="EB61e96830d6cd462e97214b111fdaed9c"/>
      <w:bookmarkStart w:id="280" w:name="_Toc256000024"/>
      <w:r>
        <w:rPr>
          <w:sz w:val="24"/>
          <w:szCs w:val="28"/>
          <w:highlight w:val="none"/>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50228939">
      <w:pPr>
        <w:overflowPunct w:val="0"/>
        <w:jc w:val="center"/>
        <w:outlineLvl w:val="9"/>
        <w:rPr>
          <w:rFonts w:hint="default" w:ascii="仿宋_GB2312" w:hAnsi="仿宋_GB2312" w:eastAsia="仿宋_GB2312" w:cs="仿宋_GB2312"/>
          <w:b/>
          <w:sz w:val="44"/>
          <w:szCs w:val="44"/>
        </w:rPr>
      </w:pPr>
      <w:bookmarkStart w:id="281" w:name="_Toc12198"/>
      <w:r>
        <w:rPr>
          <w:rFonts w:hint="eastAsia" w:ascii="仿宋_GB2312" w:hAnsi="仿宋_GB2312" w:eastAsia="仿宋_GB2312" w:cs="仿宋_GB2312"/>
          <w:b/>
          <w:color w:val="auto"/>
          <w:sz w:val="44"/>
          <w:szCs w:val="44"/>
          <w:highlight w:val="none"/>
          <w:lang w:val="en-US" w:eastAsia="zh-CN"/>
        </w:rPr>
        <w:t>通山至武宁高速公路湖北段</w:t>
      </w:r>
      <w:r>
        <w:rPr>
          <w:rFonts w:hint="eastAsia" w:ascii="仿宋_GB2312" w:hAnsi="仿宋_GB2312" w:eastAsia="仿宋_GB2312" w:cs="仿宋_GB2312"/>
          <w:b/>
          <w:sz w:val="44"/>
          <w:szCs w:val="44"/>
          <w:highlight w:val="none"/>
          <w:lang w:val="en-US" w:eastAsia="zh-CN"/>
        </w:rPr>
        <w:t>TW</w:t>
      </w:r>
      <w:r>
        <w:rPr>
          <w:rFonts w:hint="eastAsia" w:ascii="仿宋_GB2312" w:hAnsi="仿宋_GB2312" w:eastAsia="仿宋_GB2312" w:cs="仿宋_GB2312"/>
          <w:b/>
          <w:color w:val="auto"/>
          <w:sz w:val="44"/>
          <w:szCs w:val="44"/>
          <w:highlight w:val="none"/>
          <w:lang w:val="en-US" w:eastAsia="zh-CN"/>
        </w:rPr>
        <w:t>BP</w:t>
      </w:r>
      <w:r>
        <w:rPr>
          <w:rFonts w:hint="eastAsia" w:ascii="仿宋_GB2312" w:hAnsi="仿宋_GB2312" w:eastAsia="仿宋_GB2312" w:cs="仿宋_GB2312"/>
          <w:b/>
          <w:color w:val="auto"/>
          <w:sz w:val="44"/>
          <w:szCs w:val="44"/>
          <w:highlight w:val="none"/>
          <w:lang w:eastAsia="zh-CN"/>
        </w:rPr>
        <w:t>JC-1</w:t>
      </w:r>
      <w:r>
        <w:rPr>
          <w:rFonts w:hint="eastAsia" w:ascii="仿宋_GB2312" w:hAnsi="仿宋_GB2312" w:eastAsia="仿宋_GB2312" w:cs="仿宋_GB2312"/>
          <w:b/>
          <w:color w:val="auto"/>
          <w:sz w:val="44"/>
          <w:szCs w:val="44"/>
          <w:highlight w:val="none"/>
        </w:rPr>
        <w:t>标段</w:t>
      </w:r>
      <w:r>
        <w:rPr>
          <w:rFonts w:hint="eastAsia" w:ascii="仿宋_GB2312" w:hAnsi="仿宋_GB2312" w:eastAsia="仿宋_GB2312" w:cs="仿宋_GB2312"/>
          <w:b/>
          <w:color w:val="auto"/>
          <w:sz w:val="44"/>
          <w:szCs w:val="44"/>
          <w:highlight w:val="none"/>
          <w:lang w:eastAsia="zh-CN"/>
        </w:rPr>
        <w:t>试运营期高边坡监测服务</w:t>
      </w:r>
      <w:r>
        <w:rPr>
          <w:rFonts w:hint="eastAsia" w:ascii="仿宋_GB2312" w:hAnsi="仿宋_GB2312" w:eastAsia="仿宋_GB2312" w:cs="仿宋_GB2312"/>
          <w:b/>
          <w:sz w:val="44"/>
          <w:szCs w:val="44"/>
          <w:lang w:val="en-US" w:eastAsia="zh-CN"/>
        </w:rPr>
        <w:t>协议</w:t>
      </w:r>
    </w:p>
    <w:p w14:paraId="6128CFB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仿宋" w:hAnsi="仿宋" w:eastAsia="仿宋" w:cs="仿宋"/>
          <w:b/>
          <w:kern w:val="44"/>
          <w:sz w:val="52"/>
          <w:szCs w:val="52"/>
          <w:highlight w:val="none"/>
          <w:lang w:bidi="ar"/>
        </w:rPr>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p>
    <w:p w14:paraId="43D56F91">
      <w:pPr>
        <w:overflowPunct w:val="0"/>
        <w:jc w:val="center"/>
        <w:outlineLvl w:val="9"/>
        <w:rPr>
          <w:rFonts w:hint="default" w:ascii="仿宋_GB2312" w:hAnsi="仿宋_GB2312" w:eastAsia="仿宋_GB2312" w:cs="仿宋_GB2312"/>
          <w:b/>
          <w:sz w:val="44"/>
          <w:szCs w:val="44"/>
        </w:rPr>
      </w:pPr>
      <w:r>
        <w:rPr>
          <w:rFonts w:hint="eastAsia" w:ascii="仿宋_GB2312" w:hAnsi="仿宋_GB2312" w:eastAsia="仿宋_GB2312" w:cs="仿宋_GB2312"/>
          <w:b/>
          <w:sz w:val="44"/>
          <w:szCs w:val="44"/>
          <w:lang w:val="en-US" w:eastAsia="zh-CN"/>
        </w:rPr>
        <w:t>通山至武宁高速公路湖北段TWBP</w:t>
      </w:r>
      <w:r>
        <w:rPr>
          <w:rFonts w:hint="eastAsia" w:ascii="仿宋_GB2312" w:hAnsi="仿宋_GB2312" w:eastAsia="仿宋_GB2312" w:cs="仿宋_GB2312"/>
          <w:b/>
          <w:sz w:val="44"/>
          <w:szCs w:val="44"/>
          <w:lang w:eastAsia="zh-CN"/>
        </w:rPr>
        <w:t>JC-1</w:t>
      </w:r>
      <w:r>
        <w:rPr>
          <w:rFonts w:hint="eastAsia" w:ascii="仿宋_GB2312" w:hAnsi="仿宋_GB2312" w:eastAsia="仿宋_GB2312" w:cs="仿宋_GB2312"/>
          <w:b/>
          <w:sz w:val="44"/>
          <w:szCs w:val="44"/>
        </w:rPr>
        <w:t>标段</w:t>
      </w:r>
      <w:r>
        <w:rPr>
          <w:rFonts w:hint="eastAsia" w:ascii="仿宋_GB2312" w:hAnsi="仿宋_GB2312" w:eastAsia="仿宋_GB2312" w:cs="仿宋_GB2312"/>
          <w:b/>
          <w:sz w:val="44"/>
          <w:szCs w:val="44"/>
          <w:lang w:eastAsia="zh-CN"/>
        </w:rPr>
        <w:t>试运营期高边坡监测服务</w:t>
      </w:r>
      <w:r>
        <w:rPr>
          <w:rFonts w:hint="eastAsia" w:ascii="仿宋_GB2312" w:hAnsi="仿宋_GB2312" w:eastAsia="仿宋_GB2312" w:cs="仿宋_GB2312"/>
          <w:b/>
          <w:sz w:val="44"/>
          <w:szCs w:val="44"/>
          <w:lang w:val="en-US" w:eastAsia="zh-CN"/>
        </w:rPr>
        <w:t>协议</w:t>
      </w:r>
    </w:p>
    <w:p w14:paraId="05302023">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p>
    <w:p w14:paraId="61DCDB0F">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p>
    <w:p w14:paraId="3F2E914F">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本《</w:t>
      </w:r>
      <w:r>
        <w:rPr>
          <w:rFonts w:hint="eastAsia" w:ascii="仿宋_GB2312" w:hAnsi="仿宋_GB2312" w:eastAsia="仿宋_GB2312" w:cs="仿宋_GB2312"/>
          <w:kern w:val="0"/>
          <w:sz w:val="28"/>
          <w:szCs w:val="28"/>
          <w:lang w:val="en-US" w:eastAsia="zh-CN"/>
        </w:rPr>
        <w:t>试运营期高边坡监测服务协议</w:t>
      </w:r>
      <w:r>
        <w:rPr>
          <w:rFonts w:hint="eastAsia" w:ascii="仿宋_GB2312" w:hAnsi="仿宋_GB2312" w:eastAsia="仿宋_GB2312" w:cs="仿宋_GB2312"/>
          <w:kern w:val="0"/>
          <w:sz w:val="28"/>
          <w:szCs w:val="28"/>
          <w:lang w:val="zh-CN"/>
        </w:rPr>
        <w:t>》（下称“本协议”）由以下双方于【】年【】月【】日于【】签署：</w:t>
      </w:r>
    </w:p>
    <w:p w14:paraId="3EFD4131">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b/>
          <w:kern w:val="0"/>
          <w:sz w:val="28"/>
          <w:szCs w:val="28"/>
          <w:lang w:val="zh-CN"/>
        </w:rPr>
        <w:t>委托人</w:t>
      </w:r>
      <w:r>
        <w:rPr>
          <w:rFonts w:hint="eastAsia" w:ascii="仿宋_GB2312" w:hAnsi="仿宋_GB2312" w:eastAsia="仿宋_GB2312" w:cs="仿宋_GB2312"/>
          <w:kern w:val="0"/>
          <w:sz w:val="28"/>
          <w:szCs w:val="28"/>
          <w:lang w:val="zh-CN"/>
        </w:rPr>
        <w:t>（甲方）：【】</w:t>
      </w:r>
    </w:p>
    <w:p w14:paraId="3C5F5F5F">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住所：【】</w:t>
      </w:r>
    </w:p>
    <w:p w14:paraId="2215A5DE">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法定代表人：【】</w:t>
      </w:r>
    </w:p>
    <w:p w14:paraId="41A3BB63">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p>
    <w:p w14:paraId="255FA4E0">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b/>
          <w:kern w:val="0"/>
          <w:sz w:val="28"/>
          <w:szCs w:val="28"/>
          <w:lang w:val="zh-CN"/>
        </w:rPr>
        <w:t>受托人</w:t>
      </w:r>
      <w:r>
        <w:rPr>
          <w:rFonts w:hint="eastAsia" w:ascii="仿宋_GB2312" w:hAnsi="仿宋_GB2312" w:eastAsia="仿宋_GB2312" w:cs="仿宋_GB2312"/>
          <w:kern w:val="0"/>
          <w:sz w:val="28"/>
          <w:szCs w:val="28"/>
          <w:lang w:val="zh-CN"/>
        </w:rPr>
        <w:t>（乙方）：【】</w:t>
      </w:r>
    </w:p>
    <w:p w14:paraId="77224B88">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住所：【】</w:t>
      </w:r>
    </w:p>
    <w:p w14:paraId="4B6F3B57">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法定代表人：【】</w:t>
      </w:r>
    </w:p>
    <w:p w14:paraId="6D4B1F06">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p>
    <w:p w14:paraId="4B5EF744">
      <w:pPr>
        <w:keepNext w:val="0"/>
        <w:keepLines w:val="0"/>
        <w:pageBreakBefore w:val="0"/>
        <w:widowControl w:val="0"/>
        <w:kinsoku/>
        <w:wordWrap/>
        <w:overflowPunct w:val="0"/>
        <w:topLinePunct w:val="0"/>
        <w:autoSpaceDE/>
        <w:autoSpaceDN/>
        <w:bidi w:val="0"/>
        <w:adjustRightInd/>
        <w:snapToGrid w:val="0"/>
        <w:spacing w:after="157" w:afterLines="50"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甲乙双方根据《中华人民共和国民法典》等有关法律、法规和其他规范性文件的规定，经过友好协商，在平等、互利的原则下，就甲方委托乙方对【】</w:t>
      </w:r>
      <w:r>
        <w:rPr>
          <w:rFonts w:hint="eastAsia" w:ascii="仿宋_GB2312" w:hAnsi="仿宋_GB2312" w:eastAsia="仿宋_GB2312" w:cs="仿宋_GB2312"/>
          <w:kern w:val="0"/>
          <w:sz w:val="28"/>
          <w:szCs w:val="28"/>
          <w:lang w:val="en-US" w:eastAsia="zh-CN"/>
        </w:rPr>
        <w:t>试运营期高边坡监测服务协议</w:t>
      </w:r>
      <w:r>
        <w:rPr>
          <w:rFonts w:hint="eastAsia" w:ascii="仿宋_GB2312" w:hAnsi="仿宋_GB2312" w:eastAsia="仿宋_GB2312" w:cs="仿宋_GB2312"/>
          <w:kern w:val="0"/>
          <w:sz w:val="28"/>
          <w:szCs w:val="28"/>
          <w:lang w:val="zh-CN"/>
        </w:rPr>
        <w:t>达成如下协议：</w:t>
      </w:r>
    </w:p>
    <w:p w14:paraId="7DA0F917">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1.试运营期高边坡监测服务事项</w:t>
      </w:r>
    </w:p>
    <w:p w14:paraId="50132FDD">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before="0" w:line="360" w:lineRule="auto"/>
        <w:ind w:left="0" w:leftChars="0" w:firstLine="560" w:firstLineChars="200"/>
        <w:jc w:val="both"/>
        <w:outlineLvl w:val="9"/>
        <w:rPr>
          <w:rFonts w:hint="eastAsia" w:ascii="仿宋_GB2312" w:hAnsi="仿宋_GB2312" w:eastAsia="仿宋_GB2312" w:cs="仿宋_GB2312"/>
          <w:color w:val="000000"/>
          <w:kern w:val="0"/>
          <w:sz w:val="28"/>
          <w:szCs w:val="28"/>
          <w:lang w:val="en-US" w:eastAsia="zh-CN" w:bidi="ar-SA"/>
        </w:rPr>
      </w:pPr>
      <w:r>
        <w:rPr>
          <w:rFonts w:hint="eastAsia" w:ascii="仿宋_GB2312" w:hAnsi="仿宋_GB2312" w:eastAsia="仿宋_GB2312" w:cs="仿宋_GB2312"/>
          <w:color w:val="000000"/>
          <w:kern w:val="0"/>
          <w:sz w:val="28"/>
          <w:szCs w:val="28"/>
          <w:lang w:val="en-US" w:eastAsia="zh-CN" w:bidi="ar-SA"/>
        </w:rPr>
        <w:t xml:space="preserve">1.1 </w:t>
      </w:r>
      <w:r>
        <w:rPr>
          <w:rFonts w:hint="eastAsia" w:ascii="仿宋_GB2312" w:hAnsi="仿宋_GB2312" w:eastAsia="仿宋_GB2312" w:cs="仿宋_GB2312"/>
          <w:color w:val="000000"/>
          <w:kern w:val="0"/>
          <w:sz w:val="28"/>
          <w:szCs w:val="28"/>
          <w:highlight w:val="none"/>
        </w:rPr>
        <w:t>甲方委托乙方根据本协议约定和甲方要求对上述事宜提供</w:t>
      </w:r>
      <w:r>
        <w:rPr>
          <w:rFonts w:hint="eastAsia" w:ascii="仿宋_GB2312" w:hAnsi="仿宋_GB2312" w:eastAsia="仿宋_GB2312" w:cs="仿宋_GB2312"/>
          <w:color w:val="000000"/>
          <w:kern w:val="0"/>
          <w:sz w:val="28"/>
          <w:szCs w:val="28"/>
          <w:highlight w:val="none"/>
          <w:lang w:val="en-US" w:eastAsia="zh-CN"/>
        </w:rPr>
        <w:t>监测</w:t>
      </w:r>
      <w:r>
        <w:rPr>
          <w:rFonts w:hint="eastAsia" w:ascii="仿宋_GB2312" w:hAnsi="仿宋_GB2312" w:eastAsia="仿宋_GB2312" w:cs="仿宋_GB2312"/>
          <w:color w:val="000000"/>
          <w:kern w:val="0"/>
          <w:sz w:val="28"/>
          <w:szCs w:val="28"/>
          <w:highlight w:val="none"/>
        </w:rPr>
        <w:t>服务；乙方同意接受甲方委托，根据本协议约定和甲方要求对上述事宜提供</w:t>
      </w:r>
      <w:r>
        <w:rPr>
          <w:rFonts w:hint="eastAsia" w:ascii="仿宋_GB2312" w:hAnsi="仿宋_GB2312" w:eastAsia="仿宋_GB2312" w:cs="仿宋_GB2312"/>
          <w:color w:val="000000"/>
          <w:kern w:val="0"/>
          <w:sz w:val="28"/>
          <w:szCs w:val="28"/>
          <w:highlight w:val="none"/>
          <w:lang w:val="en-US" w:eastAsia="zh-CN"/>
        </w:rPr>
        <w:t>监测</w:t>
      </w:r>
      <w:r>
        <w:rPr>
          <w:rFonts w:hint="eastAsia" w:ascii="仿宋_GB2312" w:hAnsi="仿宋_GB2312" w:eastAsia="仿宋_GB2312" w:cs="仿宋_GB2312"/>
          <w:color w:val="000000"/>
          <w:kern w:val="0"/>
          <w:sz w:val="28"/>
          <w:szCs w:val="28"/>
          <w:highlight w:val="none"/>
        </w:rPr>
        <w:t>服务。</w:t>
      </w:r>
    </w:p>
    <w:p w14:paraId="38E3FE01">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before="0" w:line="360" w:lineRule="auto"/>
        <w:ind w:left="0" w:leftChars="0" w:firstLine="560" w:firstLineChars="200"/>
        <w:jc w:val="both"/>
        <w:outlineLvl w:val="9"/>
        <w:rPr>
          <w:rFonts w:hint="eastAsia" w:ascii="仿宋" w:hAnsi="仿宋" w:eastAsia="仿宋" w:cs="仿宋"/>
          <w:sz w:val="28"/>
          <w:szCs w:val="28"/>
          <w:highlight w:val="none"/>
          <w:u w:val="single"/>
          <w:lang w:val="en-US" w:eastAsia="zh-CN"/>
        </w:rPr>
      </w:pPr>
      <w:r>
        <w:rPr>
          <w:rFonts w:hint="eastAsia" w:ascii="仿宋_GB2312" w:hAnsi="仿宋_GB2312" w:eastAsia="仿宋_GB2312" w:cs="仿宋_GB2312"/>
          <w:color w:val="000000"/>
          <w:kern w:val="0"/>
          <w:sz w:val="28"/>
          <w:szCs w:val="28"/>
          <w:lang w:val="en-US" w:eastAsia="zh-CN" w:bidi="ar-SA"/>
        </w:rPr>
        <w:t xml:space="preserve">1.2 </w:t>
      </w:r>
      <w:r>
        <w:rPr>
          <w:rFonts w:hint="eastAsia" w:ascii="仿宋_GB2312" w:hAnsi="仿宋_GB2312" w:eastAsia="仿宋_GB2312" w:cs="仿宋_GB2312"/>
          <w:color w:val="000000"/>
          <w:kern w:val="0"/>
          <w:sz w:val="28"/>
          <w:szCs w:val="28"/>
        </w:rPr>
        <w:t>乙方提供</w:t>
      </w:r>
      <w:r>
        <w:rPr>
          <w:rFonts w:hint="eastAsia" w:ascii="仿宋_GB2312" w:hAnsi="仿宋_GB2312" w:eastAsia="仿宋_GB2312" w:cs="仿宋_GB2312"/>
          <w:color w:val="000000"/>
          <w:kern w:val="0"/>
          <w:sz w:val="28"/>
          <w:szCs w:val="28"/>
          <w:lang w:eastAsia="zh-CN"/>
        </w:rPr>
        <w:t>监测服务</w:t>
      </w:r>
      <w:r>
        <w:rPr>
          <w:rFonts w:hint="eastAsia" w:ascii="仿宋_GB2312" w:hAnsi="仿宋_GB2312" w:eastAsia="仿宋_GB2312" w:cs="仿宋_GB2312"/>
          <w:color w:val="000000"/>
          <w:kern w:val="0"/>
          <w:sz w:val="28"/>
          <w:szCs w:val="28"/>
        </w:rPr>
        <w:t>的具体内容及方式：</w:t>
      </w:r>
      <w:r>
        <w:rPr>
          <w:rFonts w:hint="eastAsia" w:ascii="仿宋" w:hAnsi="仿宋" w:eastAsia="仿宋" w:cs="仿宋"/>
          <w:sz w:val="28"/>
          <w:szCs w:val="28"/>
          <w:highlight w:val="none"/>
          <w:u w:val="single"/>
          <w:lang w:val="en-US" w:eastAsia="zh-CN"/>
        </w:rPr>
        <w:t>详见附件1《项目内容说明书》。</w:t>
      </w:r>
    </w:p>
    <w:p w14:paraId="5C89D3CD">
      <w:pPr>
        <w:pageBreakBefore w:val="0"/>
        <w:widowControl w:val="0"/>
        <w:numPr>
          <w:ilvl w:val="1"/>
          <w:numId w:val="0"/>
        </w:numPr>
        <w:tabs>
          <w:tab w:val="left" w:pos="900"/>
        </w:tabs>
        <w:kinsoku/>
        <w:wordWrap/>
        <w:overflowPunct w:val="0"/>
        <w:topLinePunct w:val="0"/>
        <w:bidi w:val="0"/>
        <w:adjustRightInd/>
        <w:snapToGrid/>
        <w:spacing w:before="0" w:afterLines="0" w:line="360" w:lineRule="auto"/>
        <w:ind w:left="0" w:firstLine="560" w:firstLineChars="200"/>
        <w:jc w:val="both"/>
        <w:rPr>
          <w:rFonts w:hint="eastAsia" w:ascii="仿宋_GB2312" w:hAnsi="仿宋_GB2312" w:eastAsia="仿宋_GB2312" w:cs="仿宋_GB2312"/>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bidi="ar-SA"/>
        </w:rPr>
        <w:t>1.3 乙方提供监测服务的具体标准：【】</w:t>
      </w:r>
    </w:p>
    <w:p w14:paraId="1EA88E9B">
      <w:pPr>
        <w:pageBreakBefore w:val="0"/>
        <w:widowControl w:val="0"/>
        <w:numPr>
          <w:ilvl w:val="1"/>
          <w:numId w:val="0"/>
        </w:numPr>
        <w:tabs>
          <w:tab w:val="left" w:pos="900"/>
        </w:tabs>
        <w:kinsoku/>
        <w:wordWrap/>
        <w:overflowPunct w:val="0"/>
        <w:topLinePunct w:val="0"/>
        <w:bidi w:val="0"/>
        <w:adjustRightInd/>
        <w:snapToGrid/>
        <w:spacing w:before="0" w:afterLines="0" w:line="360" w:lineRule="auto"/>
        <w:ind w:left="0" w:firstLine="560" w:firstLineChars="200"/>
        <w:jc w:val="both"/>
        <w:rPr>
          <w:rFonts w:hint="eastAsia" w:ascii="仿宋_GB2312" w:hAnsi="仿宋_GB2312" w:eastAsia="仿宋_GB2312" w:cs="仿宋_GB2312"/>
          <w:color w:val="000000"/>
          <w:kern w:val="0"/>
          <w:sz w:val="28"/>
          <w:szCs w:val="28"/>
          <w:lang w:val="en-US" w:eastAsia="zh-CN" w:bidi="ar-SA"/>
        </w:rPr>
      </w:pPr>
      <w:r>
        <w:rPr>
          <w:rFonts w:hint="eastAsia" w:ascii="仿宋_GB2312" w:hAnsi="仿宋_GB2312" w:eastAsia="仿宋_GB2312" w:cs="仿宋_GB2312"/>
          <w:color w:val="000000"/>
          <w:kern w:val="0"/>
          <w:sz w:val="28"/>
          <w:szCs w:val="28"/>
          <w:lang w:val="en-US" w:eastAsia="zh-CN" w:bidi="ar-SA"/>
        </w:rPr>
        <w:t xml:space="preserve">1.4 </w:t>
      </w:r>
      <w:r>
        <w:rPr>
          <w:rFonts w:hint="eastAsia" w:ascii="仿宋_GB2312" w:hAnsi="仿宋_GB2312" w:eastAsia="仿宋_GB2312" w:cs="仿宋_GB2312"/>
          <w:color w:val="000000"/>
          <w:kern w:val="0"/>
          <w:sz w:val="28"/>
          <w:szCs w:val="28"/>
          <w:lang w:val="zh-CN" w:eastAsia="zh-CN" w:bidi="ar-SA"/>
        </w:rPr>
        <w:t>乙方提供</w:t>
      </w:r>
      <w:r>
        <w:rPr>
          <w:rFonts w:hint="eastAsia" w:ascii="仿宋_GB2312" w:hAnsi="仿宋_GB2312" w:eastAsia="仿宋_GB2312" w:cs="仿宋_GB2312"/>
          <w:color w:val="000000"/>
          <w:kern w:val="0"/>
          <w:sz w:val="28"/>
          <w:szCs w:val="28"/>
          <w:lang w:val="en-US" w:eastAsia="zh-CN" w:bidi="ar-SA"/>
        </w:rPr>
        <w:t>监测服务</w:t>
      </w:r>
      <w:r>
        <w:rPr>
          <w:rFonts w:hint="eastAsia" w:ascii="仿宋_GB2312" w:hAnsi="仿宋_GB2312" w:eastAsia="仿宋_GB2312" w:cs="仿宋_GB2312"/>
          <w:color w:val="000000"/>
          <w:kern w:val="0"/>
          <w:sz w:val="28"/>
          <w:szCs w:val="28"/>
          <w:lang w:val="zh-CN" w:eastAsia="zh-CN" w:bidi="ar-SA"/>
        </w:rPr>
        <w:t>的具体人员、分工：</w:t>
      </w:r>
      <w:r>
        <w:rPr>
          <w:rFonts w:hint="eastAsia" w:ascii="仿宋_GB2312" w:hAnsi="仿宋_GB2312" w:eastAsia="仿宋_GB2312" w:cs="仿宋_GB2312"/>
          <w:color w:val="000000"/>
          <w:kern w:val="0"/>
          <w:sz w:val="28"/>
          <w:szCs w:val="28"/>
          <w:lang w:val="en-US" w:eastAsia="zh-CN" w:bidi="ar-SA"/>
        </w:rPr>
        <w:t>【】</w:t>
      </w:r>
      <w:r>
        <w:rPr>
          <w:rFonts w:hint="eastAsia" w:ascii="仿宋_GB2312" w:hAnsi="仿宋_GB2312" w:eastAsia="仿宋_GB2312" w:cs="仿宋_GB2312"/>
          <w:color w:val="000000"/>
          <w:kern w:val="0"/>
          <w:sz w:val="28"/>
          <w:szCs w:val="28"/>
          <w:u w:val="double"/>
          <w:lang w:val="en-US" w:eastAsia="zh-CN" w:bidi="ar-SA"/>
        </w:rPr>
        <w:t>（注：根据委托事项的需求酌情约定人员情况，或以附件列示；若本条不适用，亦可删除本条）</w:t>
      </w:r>
    </w:p>
    <w:p w14:paraId="67E0AECD">
      <w:pPr>
        <w:pageBreakBefore w:val="0"/>
        <w:widowControl w:val="0"/>
        <w:numPr>
          <w:ilvl w:val="1"/>
          <w:numId w:val="0"/>
        </w:numPr>
        <w:tabs>
          <w:tab w:val="left" w:pos="900"/>
        </w:tabs>
        <w:kinsoku/>
        <w:wordWrap/>
        <w:overflowPunct w:val="0"/>
        <w:topLinePunct w:val="0"/>
        <w:bidi w:val="0"/>
        <w:adjustRightInd/>
        <w:snapToGrid/>
        <w:spacing w:before="0" w:afterLines="0" w:line="360" w:lineRule="auto"/>
        <w:ind w:left="0" w:firstLine="560" w:firstLineChars="200"/>
        <w:jc w:val="both"/>
        <w:rPr>
          <w:rFonts w:hint="eastAsia" w:ascii="仿宋_GB2312" w:hAnsi="仿宋_GB2312" w:eastAsia="仿宋_GB2312" w:cs="仿宋_GB2312"/>
          <w:color w:val="000000"/>
          <w:kern w:val="0"/>
          <w:sz w:val="28"/>
          <w:szCs w:val="28"/>
          <w:lang w:val="en-US" w:eastAsia="zh-CN" w:bidi="ar-SA"/>
        </w:rPr>
      </w:pPr>
      <w:r>
        <w:rPr>
          <w:rFonts w:hint="eastAsia" w:ascii="仿宋_GB2312" w:hAnsi="仿宋_GB2312" w:eastAsia="仿宋_GB2312" w:cs="仿宋_GB2312"/>
          <w:color w:val="000000"/>
          <w:kern w:val="0"/>
          <w:sz w:val="28"/>
          <w:szCs w:val="28"/>
          <w:lang w:val="en-US" w:eastAsia="zh-CN" w:bidi="ar-SA"/>
        </w:rPr>
        <w:t xml:space="preserve">1.5 </w:t>
      </w:r>
      <w:r>
        <w:rPr>
          <w:rFonts w:hint="eastAsia" w:ascii="仿宋_GB2312" w:hAnsi="仿宋_GB2312" w:eastAsia="仿宋_GB2312" w:cs="仿宋_GB2312"/>
          <w:color w:val="000000"/>
          <w:kern w:val="0"/>
          <w:sz w:val="28"/>
          <w:szCs w:val="28"/>
          <w:lang w:val="zh-CN" w:eastAsia="zh-CN" w:bidi="ar-SA"/>
        </w:rPr>
        <w:t>乙方提供</w:t>
      </w:r>
      <w:r>
        <w:rPr>
          <w:rFonts w:hint="eastAsia" w:ascii="仿宋_GB2312" w:hAnsi="仿宋_GB2312" w:eastAsia="仿宋_GB2312" w:cs="仿宋_GB2312"/>
          <w:color w:val="auto"/>
          <w:kern w:val="0"/>
          <w:sz w:val="28"/>
          <w:szCs w:val="28"/>
          <w:lang w:val="en-US" w:eastAsia="zh-CN" w:bidi="ar-SA"/>
        </w:rPr>
        <w:t>监测服务</w:t>
      </w:r>
      <w:r>
        <w:rPr>
          <w:rFonts w:hint="eastAsia" w:ascii="仿宋_GB2312" w:hAnsi="仿宋_GB2312" w:eastAsia="仿宋_GB2312" w:cs="仿宋_GB2312"/>
          <w:color w:val="000000"/>
          <w:kern w:val="0"/>
          <w:sz w:val="28"/>
          <w:szCs w:val="28"/>
          <w:lang w:val="zh-CN" w:eastAsia="zh-CN" w:bidi="ar-SA"/>
        </w:rPr>
        <w:t>的进度安排和工作期限：</w:t>
      </w:r>
      <w:r>
        <w:rPr>
          <w:rFonts w:hint="eastAsia" w:ascii="仿宋_GB2312" w:hAnsi="仿宋_GB2312" w:eastAsia="仿宋_GB2312" w:cs="仿宋_GB2312"/>
          <w:color w:val="000000"/>
          <w:kern w:val="0"/>
          <w:sz w:val="28"/>
          <w:szCs w:val="28"/>
          <w:lang w:val="en-US" w:eastAsia="zh-CN" w:bidi="ar-SA"/>
        </w:rPr>
        <w:t>【】</w:t>
      </w:r>
    </w:p>
    <w:p w14:paraId="69D91977">
      <w:pPr>
        <w:pageBreakBefore w:val="0"/>
        <w:widowControl w:val="0"/>
        <w:numPr>
          <w:ilvl w:val="1"/>
          <w:numId w:val="0"/>
        </w:numPr>
        <w:tabs>
          <w:tab w:val="left" w:pos="900"/>
        </w:tabs>
        <w:kinsoku/>
        <w:wordWrap/>
        <w:overflowPunct w:val="0"/>
        <w:topLinePunct w:val="0"/>
        <w:bidi w:val="0"/>
        <w:adjustRightInd/>
        <w:snapToGrid/>
        <w:spacing w:before="0" w:afterLines="0" w:line="360" w:lineRule="auto"/>
        <w:ind w:left="0" w:firstLine="560" w:firstLineChars="200"/>
        <w:jc w:val="both"/>
        <w:rPr>
          <w:rFonts w:hint="eastAsia" w:ascii="仿宋_GB2312" w:hAnsi="仿宋_GB2312" w:eastAsia="仿宋_GB2312" w:cs="仿宋_GB2312"/>
          <w:color w:val="000000"/>
          <w:kern w:val="0"/>
          <w:sz w:val="28"/>
          <w:szCs w:val="28"/>
          <w:lang w:val="en-US" w:eastAsia="zh-CN" w:bidi="ar-SA"/>
        </w:rPr>
      </w:pPr>
      <w:r>
        <w:rPr>
          <w:rFonts w:hint="eastAsia" w:ascii="仿宋_GB2312" w:hAnsi="仿宋_GB2312" w:eastAsia="仿宋_GB2312" w:cs="仿宋_GB2312"/>
          <w:color w:val="000000"/>
          <w:kern w:val="0"/>
          <w:sz w:val="28"/>
          <w:szCs w:val="28"/>
          <w:lang w:val="en-US" w:eastAsia="zh-CN" w:bidi="ar-SA"/>
        </w:rPr>
        <w:t>1.6 乙方交付监测服务成果的时间及形式：【按协议约定向甲方提交咨询报告，报告提交形式为纸质版一式【】份并加盖公章，电子版以【U盘】形式提交。】</w:t>
      </w:r>
    </w:p>
    <w:p w14:paraId="76593AB0">
      <w:pPr>
        <w:pageBreakBefore w:val="0"/>
        <w:widowControl w:val="0"/>
        <w:numPr>
          <w:ilvl w:val="1"/>
          <w:numId w:val="0"/>
        </w:numPr>
        <w:tabs>
          <w:tab w:val="left" w:pos="900"/>
        </w:tabs>
        <w:kinsoku/>
        <w:wordWrap/>
        <w:overflowPunct w:val="0"/>
        <w:topLinePunct w:val="0"/>
        <w:bidi w:val="0"/>
        <w:adjustRightInd/>
        <w:snapToGrid/>
        <w:spacing w:before="0" w:afterLines="0" w:line="360" w:lineRule="auto"/>
        <w:ind w:left="0" w:firstLine="560" w:firstLineChars="200"/>
        <w:jc w:val="both"/>
        <w:rPr>
          <w:rFonts w:hint="eastAsia" w:ascii="仿宋_GB2312" w:hAnsi="仿宋_GB2312" w:eastAsia="仿宋_GB2312" w:cs="仿宋_GB2312"/>
          <w:color w:val="000000"/>
          <w:kern w:val="0"/>
          <w:sz w:val="28"/>
          <w:szCs w:val="28"/>
          <w:lang w:val="en-US" w:eastAsia="zh-CN" w:bidi="ar-SA"/>
        </w:rPr>
      </w:pPr>
      <w:r>
        <w:rPr>
          <w:rFonts w:hint="eastAsia" w:ascii="仿宋_GB2312" w:hAnsi="仿宋_GB2312" w:eastAsia="仿宋_GB2312" w:cs="仿宋_GB2312"/>
          <w:color w:val="000000"/>
          <w:kern w:val="0"/>
          <w:sz w:val="28"/>
          <w:szCs w:val="28"/>
          <w:lang w:val="en-US" w:eastAsia="zh-CN" w:bidi="ar-SA"/>
        </w:rPr>
        <w:t>1.7 对乙方所提供监测服务的其他要求：</w:t>
      </w:r>
    </w:p>
    <w:p w14:paraId="089EE3A2">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1）</w:t>
      </w:r>
      <w:r>
        <w:rPr>
          <w:rFonts w:hint="eastAsia" w:ascii="仿宋" w:hAnsi="仿宋" w:eastAsia="仿宋" w:cs="仿宋"/>
          <w:b w:val="0"/>
          <w:bCs/>
          <w:sz w:val="28"/>
          <w:szCs w:val="28"/>
          <w:highlight w:val="none"/>
        </w:rPr>
        <w:t>技术服务地点：</w:t>
      </w:r>
      <w:r>
        <w:rPr>
          <w:rFonts w:hint="eastAsia" w:ascii="仿宋" w:hAnsi="仿宋" w:eastAsia="仿宋" w:cs="仿宋"/>
          <w:b w:val="0"/>
          <w:bCs/>
          <w:sz w:val="28"/>
          <w:szCs w:val="28"/>
          <w:highlight w:val="none"/>
          <w:u w:val="none"/>
        </w:rPr>
        <w:t>甲方指定的地点</w:t>
      </w:r>
      <w:r>
        <w:rPr>
          <w:rFonts w:hint="eastAsia" w:ascii="仿宋" w:hAnsi="仿宋" w:eastAsia="仿宋" w:cs="仿宋"/>
          <w:b w:val="0"/>
          <w:bCs/>
          <w:sz w:val="28"/>
          <w:szCs w:val="28"/>
          <w:highlight w:val="none"/>
        </w:rPr>
        <w:t>。</w:t>
      </w:r>
    </w:p>
    <w:p w14:paraId="22437E8D">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2）</w:t>
      </w:r>
      <w:r>
        <w:rPr>
          <w:rFonts w:hint="eastAsia" w:ascii="仿宋" w:hAnsi="仿宋" w:eastAsia="仿宋" w:cs="仿宋"/>
          <w:b w:val="0"/>
          <w:bCs/>
          <w:sz w:val="28"/>
          <w:szCs w:val="28"/>
          <w:highlight w:val="none"/>
        </w:rPr>
        <w:t>技术服务期限：</w:t>
      </w:r>
      <w:r>
        <w:rPr>
          <w:rFonts w:hint="eastAsia" w:ascii="仿宋" w:hAnsi="仿宋" w:eastAsia="仿宋" w:cs="仿宋"/>
          <w:b w:val="0"/>
          <w:bCs/>
          <w:sz w:val="28"/>
          <w:szCs w:val="28"/>
          <w:highlight w:val="none"/>
          <w:u w:val="single"/>
        </w:rPr>
        <w:t xml:space="preserve">     日历天（注：如乙方在投标文件投标函中填写服务期限不满足招标文件规定，则在合同签订时以招标文件的规定为准）</w:t>
      </w:r>
      <w:r>
        <w:rPr>
          <w:rFonts w:hint="eastAsia" w:ascii="仿宋" w:hAnsi="仿宋" w:eastAsia="仿宋" w:cs="仿宋"/>
          <w:b w:val="0"/>
          <w:bCs/>
          <w:sz w:val="28"/>
          <w:szCs w:val="28"/>
          <w:highlight w:val="none"/>
        </w:rPr>
        <w:t>。</w:t>
      </w:r>
    </w:p>
    <w:p w14:paraId="498941DF">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3）</w:t>
      </w:r>
      <w:r>
        <w:rPr>
          <w:rFonts w:hint="eastAsia" w:ascii="仿宋" w:hAnsi="仿宋" w:eastAsia="仿宋" w:cs="仿宋"/>
          <w:b w:val="0"/>
          <w:bCs/>
          <w:sz w:val="28"/>
          <w:szCs w:val="28"/>
          <w:highlight w:val="none"/>
        </w:rPr>
        <w:t>技术服务进度：</w:t>
      </w:r>
    </w:p>
    <w:p w14:paraId="50D71965">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仿宋" w:hAnsi="仿宋" w:eastAsia="仿宋" w:cs="仿宋"/>
          <w:b w:val="0"/>
          <w:bCs/>
          <w:sz w:val="28"/>
          <w:szCs w:val="28"/>
          <w:highlight w:val="none"/>
          <w:lang w:val="en-US" w:eastAsia="zh-CN"/>
        </w:rPr>
      </w:pPr>
      <w:r>
        <w:rPr>
          <w:rFonts w:hint="eastAsia" w:ascii="仿宋" w:hAnsi="仿宋" w:eastAsia="仿宋" w:cs="仿宋"/>
          <w:bCs/>
          <w:sz w:val="28"/>
          <w:szCs w:val="28"/>
          <w:highlight w:val="none"/>
          <w:lang w:val="en-US" w:eastAsia="zh-CN"/>
        </w:rPr>
        <w:t>在合同签订后90</w:t>
      </w:r>
      <w:r>
        <w:rPr>
          <w:rFonts w:hint="eastAsia" w:ascii="仿宋" w:hAnsi="仿宋" w:eastAsia="仿宋" w:cs="仿宋"/>
          <w:bCs/>
          <w:sz w:val="28"/>
          <w:szCs w:val="28"/>
          <w:highlight w:val="none"/>
        </w:rPr>
        <w:t>日历天</w:t>
      </w:r>
      <w:r>
        <w:rPr>
          <w:rFonts w:hint="eastAsia" w:ascii="仿宋" w:hAnsi="仿宋" w:eastAsia="仿宋" w:cs="仿宋"/>
          <w:bCs/>
          <w:sz w:val="28"/>
          <w:szCs w:val="28"/>
          <w:highlight w:val="none"/>
          <w:lang w:val="en-US" w:eastAsia="zh-CN"/>
        </w:rPr>
        <w:t>内，完成</w:t>
      </w:r>
      <w:r>
        <w:rPr>
          <w:rFonts w:hint="eastAsia" w:ascii="仿宋" w:hAnsi="仿宋" w:eastAsia="仿宋" w:cs="仿宋"/>
          <w:bCs/>
          <w:sz w:val="28"/>
          <w:szCs w:val="28"/>
          <w:highlight w:val="none"/>
        </w:rPr>
        <w:t>边坡监测系统建设</w:t>
      </w:r>
      <w:r>
        <w:rPr>
          <w:rFonts w:hint="eastAsia" w:ascii="仿宋" w:hAnsi="仿宋" w:eastAsia="仿宋" w:cs="仿宋"/>
          <w:bCs/>
          <w:sz w:val="28"/>
          <w:szCs w:val="28"/>
          <w:highlight w:val="none"/>
          <w:lang w:val="en-US" w:eastAsia="zh-CN"/>
        </w:rPr>
        <w:t>工作并通过验收</w:t>
      </w:r>
      <w:r>
        <w:rPr>
          <w:rFonts w:hint="eastAsia" w:ascii="仿宋" w:hAnsi="仿宋" w:eastAsia="仿宋" w:cs="仿宋"/>
          <w:bCs/>
          <w:sz w:val="28"/>
          <w:szCs w:val="28"/>
          <w:highlight w:val="none"/>
        </w:rPr>
        <w:t>；监测期内提供月度报告、季度报告、年度报告及专报（根据甲方要求）； 监测工作结束后，编制监测成果总结报告。出现异常时应及时提交紧急预警报告，开展人工检查复核，并提出紧急处置建议。</w:t>
      </w:r>
      <w:r>
        <w:rPr>
          <w:rFonts w:hint="eastAsia" w:ascii="仿宋" w:hAnsi="仿宋" w:eastAsia="仿宋" w:cs="仿宋"/>
          <w:b w:val="0"/>
          <w:bCs/>
          <w:sz w:val="28"/>
          <w:szCs w:val="28"/>
          <w:highlight w:val="none"/>
          <w:lang w:eastAsia="zh-CN"/>
        </w:rPr>
        <w:t xml:space="preserve"> </w:t>
      </w:r>
    </w:p>
    <w:p w14:paraId="36B5C639">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4）</w:t>
      </w:r>
      <w:r>
        <w:rPr>
          <w:rFonts w:hint="eastAsia" w:ascii="仿宋" w:hAnsi="仿宋" w:eastAsia="仿宋" w:cs="仿宋"/>
          <w:b w:val="0"/>
          <w:bCs/>
          <w:sz w:val="28"/>
          <w:szCs w:val="28"/>
          <w:highlight w:val="none"/>
        </w:rPr>
        <w:t>技术服务质量要求：</w:t>
      </w:r>
      <w:r>
        <w:rPr>
          <w:rFonts w:hint="eastAsia" w:ascii="仿宋" w:hAnsi="仿宋" w:eastAsia="仿宋" w:cs="仿宋"/>
          <w:b w:val="0"/>
          <w:bCs/>
          <w:sz w:val="28"/>
          <w:szCs w:val="28"/>
          <w:highlight w:val="none"/>
          <w:u w:val="single"/>
        </w:rPr>
        <w:t xml:space="preserve"> 符合国家及行业主管部门相关标准、规范及规定 </w:t>
      </w:r>
      <w:r>
        <w:rPr>
          <w:rFonts w:hint="eastAsia" w:ascii="仿宋" w:hAnsi="仿宋" w:eastAsia="仿宋" w:cs="仿宋"/>
          <w:b w:val="0"/>
          <w:bCs/>
          <w:sz w:val="28"/>
          <w:szCs w:val="28"/>
          <w:highlight w:val="none"/>
        </w:rPr>
        <w:t>。</w:t>
      </w:r>
    </w:p>
    <w:p w14:paraId="66CFC4A4">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5）</w:t>
      </w:r>
      <w:r>
        <w:rPr>
          <w:rFonts w:hint="eastAsia" w:ascii="仿宋" w:hAnsi="仿宋" w:eastAsia="仿宋" w:cs="仿宋"/>
          <w:b w:val="0"/>
          <w:bCs/>
          <w:sz w:val="28"/>
          <w:szCs w:val="28"/>
          <w:highlight w:val="none"/>
        </w:rPr>
        <w:t xml:space="preserve">技术服务质量期限要求： </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lang w:val="en-US" w:eastAsia="zh-CN"/>
        </w:rPr>
        <w:t>/</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w:t>
      </w:r>
    </w:p>
    <w:p w14:paraId="5DFA12A9">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6）</w:t>
      </w:r>
      <w:r>
        <w:rPr>
          <w:rFonts w:hint="eastAsia" w:ascii="仿宋" w:hAnsi="仿宋" w:eastAsia="仿宋" w:cs="仿宋"/>
          <w:b w:val="0"/>
          <w:bCs/>
          <w:sz w:val="28"/>
          <w:szCs w:val="28"/>
          <w:highlight w:val="none"/>
        </w:rPr>
        <w:t>安全目标：</w:t>
      </w:r>
      <w:r>
        <w:rPr>
          <w:rFonts w:hint="eastAsia" w:ascii="仿宋" w:hAnsi="仿宋" w:eastAsia="仿宋" w:cs="仿宋"/>
          <w:b w:val="0"/>
          <w:bCs/>
          <w:sz w:val="28"/>
          <w:szCs w:val="28"/>
          <w:highlight w:val="none"/>
          <w:u w:val="single"/>
        </w:rPr>
        <w:t xml:space="preserve"> 不发生一般及以上安全责任事故</w:t>
      </w:r>
      <w:r>
        <w:rPr>
          <w:rFonts w:hint="eastAsia" w:ascii="仿宋" w:hAnsi="仿宋" w:eastAsia="仿宋" w:cs="仿宋"/>
          <w:b w:val="0"/>
          <w:bCs/>
          <w:sz w:val="28"/>
          <w:szCs w:val="28"/>
          <w:highlight w:val="none"/>
        </w:rPr>
        <w:t>。</w:t>
      </w:r>
    </w:p>
    <w:p w14:paraId="31D01C9D">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2.服务费和支付方式</w:t>
      </w:r>
    </w:p>
    <w:p w14:paraId="55CC272C">
      <w:pPr>
        <w:keepNext w:val="0"/>
        <w:keepLines w:val="0"/>
        <w:pageBreakBefore w:val="0"/>
        <w:widowControl w:val="0"/>
        <w:numPr>
          <w:ilvl w:val="1"/>
          <w:numId w:val="0"/>
        </w:numPr>
        <w:tabs>
          <w:tab w:val="left" w:pos="0"/>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default" w:ascii="仿宋_GB2312" w:hAnsi="仿宋_GB2312" w:eastAsia="仿宋_GB2312" w:cs="仿宋_GB2312"/>
          <w:kern w:val="0"/>
          <w:sz w:val="28"/>
          <w:szCs w:val="28"/>
          <w:lang w:val="zh-CN" w:eastAsia="zh-CN" w:bidi="ar-SA"/>
        </w:rPr>
        <w:t>2.1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本协议总额为</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lang w:val="zh-CN"/>
        </w:rPr>
        <w:t>元（大写：人民币</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lang w:val="en-US" w:eastAsia="zh-CN"/>
        </w:rPr>
        <w:t>元</w:t>
      </w:r>
      <w:r>
        <w:rPr>
          <w:rFonts w:hint="eastAsia" w:ascii="仿宋_GB2312" w:hAnsi="仿宋_GB2312" w:eastAsia="仿宋_GB2312" w:cs="仿宋_GB2312"/>
          <w:kern w:val="0"/>
          <w:sz w:val="28"/>
          <w:szCs w:val="28"/>
          <w:lang w:val="zh-CN"/>
        </w:rPr>
        <w:t>），</w:t>
      </w:r>
      <w:r>
        <w:rPr>
          <w:rFonts w:hint="eastAsia" w:ascii="仿宋_GB2312" w:hAnsi="仿宋_GB2312" w:eastAsia="仿宋_GB2312" w:cs="仿宋_GB2312"/>
          <w:bCs w:val="0"/>
          <w:sz w:val="28"/>
          <w:szCs w:val="28"/>
        </w:rPr>
        <w:t>含暂列金额为人民币</w:t>
      </w:r>
      <w:r>
        <w:rPr>
          <w:rFonts w:hint="eastAsia" w:ascii="仿宋_GB2312" w:hAnsi="仿宋_GB2312" w:eastAsia="仿宋_GB2312" w:cs="仿宋_GB2312"/>
          <w:bCs w:val="0"/>
          <w:sz w:val="28"/>
          <w:szCs w:val="28"/>
          <w:u w:val="none"/>
        </w:rPr>
        <w:t xml:space="preserve">     </w:t>
      </w:r>
      <w:r>
        <w:rPr>
          <w:rFonts w:hint="eastAsia" w:ascii="仿宋_GB2312" w:hAnsi="仿宋_GB2312" w:eastAsia="仿宋_GB2312" w:cs="仿宋_GB2312"/>
          <w:bCs w:val="0"/>
          <w:sz w:val="28"/>
          <w:szCs w:val="28"/>
        </w:rPr>
        <w:t>元（大写：</w:t>
      </w:r>
      <w:r>
        <w:rPr>
          <w:rFonts w:hint="eastAsia" w:ascii="仿宋_GB2312" w:hAnsi="仿宋_GB2312" w:eastAsia="仿宋_GB2312" w:cs="仿宋_GB2312"/>
          <w:bCs w:val="0"/>
          <w:sz w:val="28"/>
          <w:szCs w:val="28"/>
          <w:u w:val="none"/>
        </w:rPr>
        <w:t xml:space="preserve">     </w:t>
      </w:r>
      <w:r>
        <w:rPr>
          <w:rFonts w:hint="eastAsia" w:ascii="仿宋_GB2312" w:hAnsi="仿宋_GB2312" w:eastAsia="仿宋_GB2312" w:cs="仿宋_GB2312"/>
          <w:bCs w:val="0"/>
          <w:sz w:val="28"/>
          <w:szCs w:val="28"/>
        </w:rPr>
        <w:t>）</w:t>
      </w:r>
      <w:r>
        <w:rPr>
          <w:rFonts w:hint="eastAsia" w:ascii="仿宋_GB2312" w:hAnsi="仿宋_GB2312" w:eastAsia="仿宋_GB2312" w:cs="仿宋_GB2312"/>
          <w:kern w:val="0"/>
          <w:sz w:val="28"/>
          <w:szCs w:val="28"/>
          <w:lang w:val="zh-CN"/>
        </w:rPr>
        <w:t>。</w:t>
      </w:r>
      <w:r>
        <w:rPr>
          <w:rFonts w:hint="eastAsia" w:ascii="仿宋_GB2312" w:hAnsi="仿宋_GB2312" w:eastAsia="仿宋_GB2312" w:cs="仿宋_GB2312"/>
          <w:sz w:val="28"/>
          <w:szCs w:val="28"/>
        </w:rPr>
        <w:t>其中不含税价为</w:t>
      </w:r>
      <w:r>
        <w:rPr>
          <w:rFonts w:hint="eastAsia" w:ascii="仿宋_GB2312" w:hAnsi="仿宋_GB2312" w:eastAsia="仿宋_GB2312" w:cs="仿宋_GB2312"/>
          <w:kern w:val="0"/>
          <w:sz w:val="28"/>
          <w:szCs w:val="28"/>
        </w:rPr>
        <w:t>【】</w:t>
      </w:r>
      <w:r>
        <w:rPr>
          <w:rFonts w:hint="eastAsia" w:ascii="仿宋_GB2312" w:hAnsi="仿宋_GB2312" w:eastAsia="仿宋_GB2312" w:cs="仿宋_GB2312"/>
          <w:sz w:val="28"/>
          <w:szCs w:val="28"/>
        </w:rPr>
        <w:t>元（大写：人民币</w:t>
      </w:r>
      <w:r>
        <w:rPr>
          <w:rFonts w:hint="eastAsia" w:ascii="仿宋_GB2312" w:hAnsi="仿宋_GB2312" w:eastAsia="仿宋_GB2312" w:cs="仿宋_GB2312"/>
          <w:kern w:val="0"/>
          <w:sz w:val="28"/>
          <w:szCs w:val="28"/>
        </w:rPr>
        <w:t>【】</w:t>
      </w:r>
      <w:r>
        <w:rPr>
          <w:rFonts w:hint="eastAsia" w:ascii="仿宋_GB2312" w:hAnsi="仿宋_GB2312" w:eastAsia="仿宋_GB2312" w:cs="仿宋_GB2312"/>
          <w:sz w:val="28"/>
          <w:szCs w:val="28"/>
        </w:rPr>
        <w:t>元），税率为</w:t>
      </w:r>
      <w:r>
        <w:rPr>
          <w:rFonts w:hint="eastAsia" w:ascii="仿宋_GB2312" w:hAnsi="仿宋_GB2312" w:eastAsia="仿宋_GB2312" w:cs="仿宋_GB2312"/>
          <w:kern w:val="0"/>
          <w:sz w:val="28"/>
          <w:szCs w:val="28"/>
        </w:rPr>
        <w:t>【】</w:t>
      </w:r>
      <w:r>
        <w:rPr>
          <w:rFonts w:hint="eastAsia" w:ascii="仿宋_GB2312" w:hAnsi="仿宋_GB2312" w:eastAsia="仿宋_GB2312" w:cs="仿宋_GB2312"/>
          <w:sz w:val="28"/>
          <w:szCs w:val="28"/>
        </w:rPr>
        <w:t>%，税额为</w:t>
      </w:r>
      <w:r>
        <w:rPr>
          <w:rFonts w:hint="eastAsia" w:ascii="仿宋_GB2312" w:hAnsi="仿宋_GB2312" w:eastAsia="仿宋_GB2312" w:cs="仿宋_GB2312"/>
          <w:kern w:val="0"/>
          <w:sz w:val="28"/>
          <w:szCs w:val="28"/>
        </w:rPr>
        <w:t>【】</w:t>
      </w:r>
      <w:r>
        <w:rPr>
          <w:rFonts w:hint="eastAsia" w:ascii="仿宋_GB2312" w:hAnsi="仿宋_GB2312" w:eastAsia="仿宋_GB2312" w:cs="仿宋_GB2312"/>
          <w:sz w:val="28"/>
          <w:szCs w:val="28"/>
        </w:rPr>
        <w:t>元（大写：人民币</w:t>
      </w:r>
      <w:r>
        <w:rPr>
          <w:rFonts w:hint="eastAsia" w:ascii="仿宋_GB2312" w:hAnsi="仿宋_GB2312" w:eastAsia="仿宋_GB2312" w:cs="仿宋_GB2312"/>
          <w:kern w:val="0"/>
          <w:sz w:val="28"/>
          <w:szCs w:val="28"/>
        </w:rPr>
        <w:t>【】</w:t>
      </w:r>
      <w:r>
        <w:rPr>
          <w:rFonts w:hint="eastAsia" w:ascii="仿宋_GB2312" w:hAnsi="仿宋_GB2312" w:eastAsia="仿宋_GB2312" w:cs="仿宋_GB2312"/>
          <w:sz w:val="28"/>
          <w:szCs w:val="28"/>
        </w:rPr>
        <w:t>元）</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eastAsia="zh-CN"/>
        </w:rPr>
        <w:t>协议</w:t>
      </w:r>
      <w:r>
        <w:rPr>
          <w:rFonts w:hint="eastAsia" w:ascii="仿宋_GB2312" w:hAnsi="仿宋_GB2312" w:eastAsia="仿宋_GB2312" w:cs="仿宋_GB2312"/>
          <w:sz w:val="28"/>
          <w:szCs w:val="28"/>
          <w:highlight w:val="none"/>
        </w:rPr>
        <w:t>履行期间，因国家税收政策调整或任何一方纳税人身份变更导致增值税税率/征收率变动的，本</w:t>
      </w:r>
      <w:r>
        <w:rPr>
          <w:rFonts w:hint="eastAsia" w:ascii="仿宋_GB2312" w:hAnsi="仿宋_GB2312" w:eastAsia="仿宋_GB2312" w:cs="仿宋_GB2312"/>
          <w:sz w:val="28"/>
          <w:szCs w:val="28"/>
          <w:highlight w:val="none"/>
          <w:lang w:eastAsia="zh-CN"/>
        </w:rPr>
        <w:t>协议</w:t>
      </w:r>
      <w:r>
        <w:rPr>
          <w:rFonts w:hint="eastAsia" w:ascii="仿宋_GB2312" w:hAnsi="仿宋_GB2312" w:eastAsia="仿宋_GB2312" w:cs="仿宋_GB2312"/>
          <w:sz w:val="28"/>
          <w:szCs w:val="28"/>
          <w:highlight w:val="none"/>
        </w:rPr>
        <w:t>不含税价款保持不变，增值税税额及含税总价按纳税义务发生时的有效税率相应调整。双方互不追究违约责任。开票方应按调整后的税率开具合规的</w:t>
      </w:r>
      <w:r>
        <w:rPr>
          <w:rFonts w:hint="eastAsia" w:ascii="仿宋_GB2312" w:hAnsi="仿宋_GB2312" w:eastAsia="仿宋_GB2312" w:cs="仿宋_GB2312"/>
          <w:sz w:val="28"/>
          <w:szCs w:val="28"/>
          <w:highlight w:val="none"/>
          <w:lang w:eastAsia="zh-CN"/>
        </w:rPr>
        <w:t>增值税发票</w:t>
      </w:r>
      <w:r>
        <w:rPr>
          <w:rFonts w:hint="eastAsia" w:ascii="仿宋_GB2312" w:hAnsi="仿宋_GB2312" w:eastAsia="仿宋_GB2312" w:cs="仿宋_GB2312"/>
          <w:sz w:val="28"/>
          <w:szCs w:val="28"/>
          <w:highlight w:val="none"/>
        </w:rPr>
        <w:t>，否则支付方可拒付。如无其他明确约定，</w:t>
      </w:r>
      <w:r>
        <w:rPr>
          <w:rFonts w:hint="eastAsia" w:ascii="仿宋_GB2312" w:hAnsi="仿宋_GB2312" w:eastAsia="仿宋_GB2312" w:cs="仿宋_GB2312"/>
          <w:sz w:val="28"/>
          <w:szCs w:val="28"/>
          <w:highlight w:val="none"/>
          <w:lang w:val="en-US" w:eastAsia="zh-CN"/>
        </w:rPr>
        <w:t>本协议总额</w:t>
      </w:r>
      <w:r>
        <w:rPr>
          <w:rFonts w:hint="eastAsia" w:ascii="仿宋_GB2312" w:hAnsi="仿宋_GB2312" w:eastAsia="仿宋_GB2312" w:cs="仿宋_GB2312"/>
          <w:sz w:val="28"/>
          <w:szCs w:val="28"/>
          <w:highlight w:val="none"/>
        </w:rPr>
        <w:t>包括乙方履行本协议的全部费用。除非法律另有规定或甲方书面同意，甲方不再另行支付其他任何费用。</w:t>
      </w:r>
    </w:p>
    <w:p w14:paraId="149DDC40">
      <w:pPr>
        <w:keepNext w:val="0"/>
        <w:keepLines w:val="0"/>
        <w:pageBreakBefore w:val="0"/>
        <w:widowControl w:val="0"/>
        <w:numPr>
          <w:ilvl w:val="1"/>
          <w:numId w:val="0"/>
        </w:numPr>
        <w:tabs>
          <w:tab w:val="left" w:pos="0"/>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default" w:ascii="仿宋_GB2312" w:hAnsi="仿宋_GB2312" w:eastAsia="仿宋_GB2312" w:cs="仿宋_GB2312"/>
          <w:kern w:val="0"/>
          <w:sz w:val="28"/>
          <w:szCs w:val="28"/>
          <w:lang w:val="zh-CN" w:eastAsia="zh-CN" w:bidi="ar-SA"/>
        </w:rPr>
        <w:t>2.2</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zh-CN"/>
        </w:rPr>
        <w:t>甲方采用以下第</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val="zh-CN"/>
        </w:rPr>
        <w:t>种方式</w:t>
      </w:r>
      <w:r>
        <w:rPr>
          <w:rFonts w:hint="eastAsia" w:ascii="仿宋_GB2312" w:hAnsi="仿宋_GB2312" w:eastAsia="仿宋_GB2312" w:cs="仿宋_GB2312"/>
          <w:kern w:val="0"/>
          <w:sz w:val="28"/>
          <w:szCs w:val="28"/>
          <w:highlight w:val="none"/>
          <w:lang w:val="en-US" w:eastAsia="zh-CN"/>
        </w:rPr>
        <w:t>支付</w:t>
      </w:r>
      <w:r>
        <w:rPr>
          <w:rFonts w:hint="eastAsia" w:ascii="仿宋_GB2312" w:hAnsi="仿宋_GB2312" w:eastAsia="仿宋_GB2312" w:cs="仿宋_GB2312"/>
          <w:kern w:val="0"/>
          <w:sz w:val="28"/>
          <w:szCs w:val="28"/>
          <w:highlight w:val="none"/>
          <w:lang w:val="zh-CN"/>
        </w:rPr>
        <w:t>：</w:t>
      </w:r>
    </w:p>
    <w:p w14:paraId="49D23438">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highlight w:val="none"/>
          <w:lang w:val="zh-CN"/>
        </w:rPr>
        <w:t>（1）支票；</w:t>
      </w:r>
    </w:p>
    <w:p w14:paraId="17A95415">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lang w:val="zh-CN" w:eastAsia="zh-CN" w:bidi="ar-SA"/>
        </w:rPr>
        <w:t>（2）</w:t>
      </w:r>
      <w:r>
        <w:rPr>
          <w:rFonts w:hint="eastAsia" w:ascii="仿宋_GB2312" w:hAnsi="仿宋_GB2312" w:eastAsia="仿宋_GB2312" w:cs="仿宋_GB2312"/>
          <w:kern w:val="0"/>
          <w:sz w:val="28"/>
          <w:szCs w:val="28"/>
          <w:highlight w:val="none"/>
          <w:lang w:val="zh-CN"/>
        </w:rPr>
        <w:t>现金；</w:t>
      </w:r>
    </w:p>
    <w:p w14:paraId="348CB986">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lang w:val="zh-CN" w:eastAsia="zh-CN" w:bidi="ar-SA"/>
        </w:rPr>
        <w:t>（3）</w:t>
      </w:r>
      <w:r>
        <w:rPr>
          <w:rFonts w:hint="eastAsia" w:ascii="仿宋_GB2312" w:hAnsi="仿宋_GB2312" w:eastAsia="仿宋_GB2312" w:cs="仿宋_GB2312"/>
          <w:kern w:val="0"/>
          <w:sz w:val="28"/>
          <w:szCs w:val="28"/>
          <w:highlight w:val="none"/>
          <w:lang w:val="zh-CN"/>
        </w:rPr>
        <w:t>银行转账；</w:t>
      </w:r>
    </w:p>
    <w:p w14:paraId="1AEA6BB0">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lang w:val="zh-CN" w:eastAsia="zh-CN" w:bidi="ar-SA"/>
        </w:rPr>
        <w:t>（4）</w:t>
      </w:r>
      <w:r>
        <w:rPr>
          <w:rFonts w:hint="eastAsia" w:ascii="仿宋_GB2312" w:hAnsi="仿宋_GB2312" w:eastAsia="仿宋_GB2312" w:cs="仿宋_GB2312"/>
          <w:kern w:val="0"/>
          <w:sz w:val="28"/>
          <w:szCs w:val="28"/>
          <w:highlight w:val="none"/>
          <w:lang w:val="zh-CN"/>
        </w:rPr>
        <w:t>商业承兑汇票；</w:t>
      </w:r>
    </w:p>
    <w:p w14:paraId="429848F6">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lang w:val="zh-CN" w:eastAsia="zh-CN" w:bidi="ar-SA"/>
        </w:rPr>
        <w:t>（5）</w:t>
      </w:r>
      <w:r>
        <w:rPr>
          <w:rFonts w:hint="eastAsia" w:ascii="仿宋_GB2312" w:hAnsi="仿宋_GB2312" w:eastAsia="仿宋_GB2312" w:cs="仿宋_GB2312"/>
          <w:kern w:val="0"/>
          <w:sz w:val="28"/>
          <w:szCs w:val="28"/>
          <w:highlight w:val="none"/>
          <w:lang w:val="zh-CN"/>
        </w:rPr>
        <w:t>银行承兑汇票；</w:t>
      </w:r>
    </w:p>
    <w:p w14:paraId="5F63E90F">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lang w:val="zh-CN" w:eastAsia="zh-CN" w:bidi="ar-SA"/>
        </w:rPr>
        <w:t>（6）</w:t>
      </w:r>
      <w:r>
        <w:rPr>
          <w:rFonts w:hint="eastAsia" w:ascii="仿宋_GB2312" w:hAnsi="仿宋_GB2312" w:eastAsia="仿宋_GB2312" w:cs="仿宋_GB2312"/>
          <w:kern w:val="0"/>
          <w:sz w:val="28"/>
          <w:szCs w:val="28"/>
          <w:highlight w:val="none"/>
          <w:lang w:val="zh-CN"/>
        </w:rPr>
        <w:t>供应链票据；</w:t>
      </w:r>
    </w:p>
    <w:p w14:paraId="4B4ACF2B">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lang w:val="zh-CN" w:eastAsia="zh-CN" w:bidi="ar-SA"/>
        </w:rPr>
        <w:t>（7）</w:t>
      </w:r>
      <w:r>
        <w:rPr>
          <w:rFonts w:hint="eastAsia" w:ascii="仿宋_GB2312" w:hAnsi="仿宋_GB2312" w:eastAsia="仿宋_GB2312" w:cs="仿宋_GB2312"/>
          <w:kern w:val="0"/>
          <w:sz w:val="28"/>
          <w:szCs w:val="28"/>
          <w:highlight w:val="none"/>
          <w:lang w:val="zh-CN"/>
        </w:rPr>
        <w:t>应收账款电子凭证；</w:t>
      </w:r>
    </w:p>
    <w:p w14:paraId="27EDDFF4">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lang w:val="zh-CN" w:eastAsia="zh-CN" w:bidi="ar-SA"/>
        </w:rPr>
        <w:t>（8）</w:t>
      </w:r>
      <w:r>
        <w:rPr>
          <w:rFonts w:hint="eastAsia" w:ascii="仿宋_GB2312" w:hAnsi="仿宋_GB2312" w:eastAsia="仿宋_GB2312" w:cs="仿宋_GB2312"/>
          <w:kern w:val="0"/>
          <w:sz w:val="28"/>
          <w:szCs w:val="28"/>
          <w:highlight w:val="none"/>
          <w:lang w:val="en-US" w:eastAsia="zh-CN"/>
        </w:rPr>
        <w:t>其他：【】</w:t>
      </w:r>
    </w:p>
    <w:p w14:paraId="349328EB">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color w:val="000000"/>
          <w:kern w:val="0"/>
          <w:sz w:val="28"/>
          <w:szCs w:val="28"/>
          <w:highlight w:val="none"/>
          <w:u w:val="double"/>
          <w:lang w:val="en-US" w:eastAsia="zh-CN"/>
        </w:rPr>
        <w:t>（注：根据《保障中小企业款项支付条例》要求，大型企业不得强制中小企业接受商业汇票、应收账款电子凭证等非现金支付方式，如选用商业承兑汇票、银行承兑汇票、供应链票据、应收账款电子凭证的支付方式，双方需协商一致。另外本条选择的支付方式若涉及贴现利息或其他相关费用的，需在本协议中一并约定相关费用的承担主体）</w:t>
      </w:r>
    </w:p>
    <w:p w14:paraId="2A61E436">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en-US" w:eastAsia="zh-CN"/>
        </w:rPr>
      </w:pPr>
      <w:r>
        <w:rPr>
          <w:rFonts w:hint="default" w:ascii="仿宋_GB2312" w:hAnsi="仿宋_GB2312" w:eastAsia="仿宋_GB2312" w:cs="仿宋_GB2312"/>
          <w:kern w:val="0"/>
          <w:sz w:val="28"/>
          <w:szCs w:val="28"/>
          <w:lang w:val="en-US" w:eastAsia="zh-CN" w:bidi="ar-SA"/>
        </w:rPr>
        <w:t>2.3</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en-US" w:eastAsia="zh-CN"/>
        </w:rPr>
        <w:t>本协议服务费由甲方【一次性/分期】支付，双方同意选择以下第【2】种方式付款：</w:t>
      </w:r>
    </w:p>
    <w:p w14:paraId="63329E5F">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（1）一次性支付：【</w:t>
      </w:r>
      <w:r>
        <w:rPr>
          <w:rFonts w:hint="eastAsia" w:ascii="仿宋_GB2312" w:hAnsi="仿宋_GB2312" w:eastAsia="仿宋_GB2312" w:cs="仿宋_GB2312"/>
          <w:sz w:val="28"/>
          <w:szCs w:val="28"/>
        </w:rPr>
        <w:t>在乙方完成本协议所涉服务内容并经甲方验收合格</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且乙方向甲方开具合规且符合甲方要求的等额</w:t>
      </w:r>
      <w:r>
        <w:rPr>
          <w:rFonts w:hint="eastAsia" w:ascii="仿宋_GB2312" w:hAnsi="仿宋_GB2312" w:eastAsia="仿宋_GB2312" w:cs="仿宋_GB2312"/>
          <w:sz w:val="28"/>
          <w:szCs w:val="28"/>
          <w:lang w:eastAsia="zh-CN"/>
        </w:rPr>
        <w:t>增值税发票</w:t>
      </w:r>
      <w:r>
        <w:rPr>
          <w:rFonts w:hint="eastAsia" w:ascii="仿宋_GB2312" w:hAnsi="仿宋_GB2312" w:eastAsia="仿宋_GB2312" w:cs="仿宋_GB2312"/>
          <w:sz w:val="28"/>
          <w:szCs w:val="28"/>
        </w:rPr>
        <w:t>后【</w:t>
      </w:r>
      <w:r>
        <w:rPr>
          <w:rFonts w:hint="eastAsia" w:ascii="仿宋_GB2312" w:hAnsi="仿宋_GB2312" w:eastAsia="仿宋_GB2312" w:cs="仿宋_GB2312"/>
          <w:sz w:val="28"/>
          <w:szCs w:val="28"/>
          <w:lang w:val="en-US" w:eastAsia="zh-CN"/>
        </w:rPr>
        <w:t>30</w:t>
      </w:r>
      <w:r>
        <w:rPr>
          <w:rFonts w:hint="eastAsia" w:ascii="仿宋_GB2312" w:hAnsi="仿宋_GB2312" w:eastAsia="仿宋_GB2312" w:cs="仿宋_GB2312"/>
          <w:sz w:val="28"/>
          <w:szCs w:val="28"/>
        </w:rPr>
        <w:t>】个工作日内</w:t>
      </w:r>
      <w:r>
        <w:rPr>
          <w:rFonts w:hint="eastAsia" w:ascii="仿宋_GB2312" w:hAnsi="仿宋_GB2312" w:eastAsia="仿宋_GB2312" w:cs="仿宋_GB2312"/>
          <w:kern w:val="0"/>
          <w:sz w:val="28"/>
          <w:szCs w:val="28"/>
          <w:highlight w:val="none"/>
          <w:lang w:val="en-US" w:eastAsia="zh-CN"/>
        </w:rPr>
        <w:t>付清全部协议价款。</w:t>
      </w:r>
    </w:p>
    <w:p w14:paraId="0ABB7521">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（2）分期支付：</w:t>
      </w:r>
    </w:p>
    <w:p w14:paraId="0B837BEE">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2"/>
          <w:sz w:val="28"/>
          <w:szCs w:val="28"/>
          <w:lang w:val="en-US" w:eastAsia="zh-CN"/>
        </w:rPr>
      </w:pPr>
      <w:r>
        <w:rPr>
          <w:rFonts w:hint="eastAsia" w:ascii="仿宋_GB2312" w:hAnsi="仿宋_GB2312" w:eastAsia="仿宋_GB2312" w:cs="仿宋_GB2312"/>
          <w:kern w:val="0"/>
          <w:sz w:val="28"/>
          <w:szCs w:val="28"/>
          <w:highlight w:val="none"/>
          <w:lang w:val="en-US" w:eastAsia="zh-CN"/>
        </w:rPr>
        <w:t>①</w:t>
      </w:r>
      <w:r>
        <w:rPr>
          <w:rFonts w:hint="eastAsia" w:ascii="仿宋_GB2312" w:hAnsi="仿宋_GB2312" w:eastAsia="仿宋_GB2312" w:cs="仿宋_GB2312"/>
          <w:snapToGrid w:val="0"/>
          <w:kern w:val="0"/>
          <w:sz w:val="28"/>
          <w:szCs w:val="28"/>
        </w:rPr>
        <w:t>签订合同协议书且专项监测技术方案通过专家评审，并经委托人审批，待进场验收通过后15天内，支付</w:t>
      </w:r>
      <w:bookmarkStart w:id="282" w:name="OLE_LINK35"/>
      <w:r>
        <w:rPr>
          <w:rFonts w:hint="eastAsia" w:ascii="仿宋_GB2312" w:hAnsi="仿宋_GB2312" w:eastAsia="仿宋_GB2312" w:cs="仿宋_GB2312"/>
          <w:snapToGrid/>
          <w:kern w:val="2"/>
          <w:sz w:val="28"/>
          <w:szCs w:val="28"/>
          <w:lang w:val="en-US" w:eastAsia="zh-CN"/>
        </w:rPr>
        <w:t>至监测服务费</w:t>
      </w:r>
      <w:r>
        <w:rPr>
          <w:rFonts w:hint="eastAsia" w:ascii="仿宋_GB2312" w:hAnsi="仿宋_GB2312" w:eastAsia="仿宋_GB2312" w:cs="仿宋_GB2312"/>
          <w:bCs w:val="0"/>
          <w:sz w:val="28"/>
          <w:szCs w:val="28"/>
        </w:rPr>
        <w:t>（不含暂列金额）</w:t>
      </w:r>
      <w:bookmarkEnd w:id="282"/>
      <w:r>
        <w:rPr>
          <w:rFonts w:hint="eastAsia" w:ascii="仿宋_GB2312" w:hAnsi="仿宋_GB2312" w:eastAsia="仿宋_GB2312" w:cs="仿宋_GB2312"/>
          <w:snapToGrid w:val="0"/>
          <w:kern w:val="0"/>
          <w:sz w:val="28"/>
          <w:szCs w:val="28"/>
        </w:rPr>
        <w:t>的20%；</w:t>
      </w:r>
    </w:p>
    <w:p w14:paraId="16C29385">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lang w:val="en-US" w:eastAsia="zh-CN"/>
        </w:rPr>
        <w:t>②</w:t>
      </w:r>
      <w:r>
        <w:rPr>
          <w:rFonts w:hint="eastAsia" w:ascii="仿宋_GB2312" w:hAnsi="仿宋_GB2312" w:eastAsia="仿宋_GB2312" w:cs="仿宋_GB2312"/>
          <w:kern w:val="0"/>
          <w:sz w:val="28"/>
          <w:szCs w:val="28"/>
        </w:rPr>
        <w:t>首次支付后，每半年（以首次支付时间为节点）支付</w:t>
      </w:r>
      <w:r>
        <w:rPr>
          <w:rFonts w:hint="eastAsia" w:ascii="仿宋_GB2312" w:hAnsi="仿宋_GB2312" w:eastAsia="仿宋_GB2312" w:cs="仿宋_GB2312"/>
          <w:snapToGrid/>
          <w:kern w:val="2"/>
          <w:sz w:val="28"/>
          <w:szCs w:val="28"/>
          <w:lang w:val="en-US" w:eastAsia="zh-CN"/>
        </w:rPr>
        <w:t>监测服务费</w:t>
      </w:r>
      <w:r>
        <w:rPr>
          <w:rFonts w:hint="eastAsia" w:ascii="仿宋_GB2312" w:hAnsi="仿宋_GB2312" w:eastAsia="仿宋_GB2312" w:cs="仿宋_GB2312"/>
          <w:bCs w:val="0"/>
          <w:sz w:val="28"/>
          <w:szCs w:val="28"/>
        </w:rPr>
        <w:t>（不含暂列金额）</w:t>
      </w:r>
      <w:r>
        <w:rPr>
          <w:rFonts w:hint="eastAsia" w:ascii="仿宋_GB2312" w:hAnsi="仿宋_GB2312" w:eastAsia="仿宋_GB2312" w:cs="仿宋_GB2312"/>
          <w:snapToGrid w:val="0"/>
          <w:kern w:val="0"/>
          <w:sz w:val="28"/>
          <w:szCs w:val="28"/>
        </w:rPr>
        <w:t>的</w:t>
      </w:r>
      <w:r>
        <w:rPr>
          <w:rFonts w:hint="eastAsia" w:ascii="仿宋_GB2312" w:hAnsi="仿宋_GB2312" w:eastAsia="仿宋_GB2312" w:cs="仿宋_GB2312"/>
          <w:kern w:val="0"/>
          <w:sz w:val="28"/>
          <w:szCs w:val="28"/>
        </w:rPr>
        <w:t>20%，最多支付至</w:t>
      </w:r>
      <w:r>
        <w:rPr>
          <w:rFonts w:hint="eastAsia" w:ascii="仿宋_GB2312" w:hAnsi="仿宋_GB2312" w:eastAsia="仿宋_GB2312" w:cs="仿宋_GB2312"/>
          <w:snapToGrid/>
          <w:kern w:val="2"/>
          <w:sz w:val="28"/>
          <w:szCs w:val="28"/>
          <w:lang w:val="en-US" w:eastAsia="zh-CN"/>
        </w:rPr>
        <w:t>监测服务费</w:t>
      </w:r>
      <w:r>
        <w:rPr>
          <w:rFonts w:hint="eastAsia" w:ascii="仿宋_GB2312" w:hAnsi="仿宋_GB2312" w:eastAsia="仿宋_GB2312" w:cs="仿宋_GB2312"/>
          <w:bCs w:val="0"/>
          <w:sz w:val="28"/>
          <w:szCs w:val="28"/>
        </w:rPr>
        <w:t>（不含暂列金额）</w:t>
      </w:r>
      <w:r>
        <w:rPr>
          <w:rFonts w:hint="eastAsia" w:ascii="仿宋_GB2312" w:hAnsi="仿宋_GB2312" w:eastAsia="仿宋_GB2312" w:cs="仿宋_GB2312"/>
          <w:snapToGrid w:val="0"/>
          <w:kern w:val="0"/>
          <w:sz w:val="28"/>
          <w:szCs w:val="28"/>
        </w:rPr>
        <w:t>的</w:t>
      </w:r>
      <w:r>
        <w:rPr>
          <w:rFonts w:hint="eastAsia" w:ascii="仿宋_GB2312" w:hAnsi="仿宋_GB2312" w:eastAsia="仿宋_GB2312" w:cs="仿宋_GB2312"/>
          <w:kern w:val="0"/>
          <w:sz w:val="28"/>
          <w:szCs w:val="28"/>
        </w:rPr>
        <w:t>的80%后暂停支付；</w:t>
      </w:r>
    </w:p>
    <w:p w14:paraId="1BBDECFA">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lang w:val="en-US" w:eastAsia="zh-CN"/>
        </w:rPr>
        <w:t>③</w:t>
      </w:r>
      <w:r>
        <w:rPr>
          <w:rFonts w:hint="eastAsia" w:ascii="仿宋_GB2312" w:hAnsi="仿宋_GB2312" w:eastAsia="仿宋_GB2312" w:cs="仿宋_GB2312"/>
          <w:kern w:val="0"/>
          <w:sz w:val="28"/>
          <w:szCs w:val="28"/>
        </w:rPr>
        <w:t>受托人按专项监测技术方案完成所有相应工作内容并提交相</w:t>
      </w:r>
      <w:r>
        <w:rPr>
          <w:rFonts w:hint="eastAsia" w:ascii="仿宋_GB2312" w:hAnsi="仿宋_GB2312" w:eastAsia="仿宋_GB2312" w:cs="仿宋_GB2312"/>
          <w:kern w:val="0"/>
          <w:sz w:val="28"/>
          <w:szCs w:val="28"/>
          <w:highlight w:val="none"/>
        </w:rPr>
        <w:t>应监测成果后支付至</w:t>
      </w:r>
      <w:r>
        <w:rPr>
          <w:rFonts w:hint="eastAsia" w:ascii="仿宋_GB2312" w:hAnsi="仿宋_GB2312" w:eastAsia="仿宋_GB2312" w:cs="仿宋_GB2312"/>
          <w:snapToGrid/>
          <w:kern w:val="0"/>
          <w:sz w:val="28"/>
          <w:szCs w:val="28"/>
          <w:highlight w:val="none"/>
          <w:lang w:val="en-US" w:eastAsia="zh-CN"/>
        </w:rPr>
        <w:t>监测服务费</w:t>
      </w:r>
      <w:r>
        <w:rPr>
          <w:rFonts w:hint="eastAsia" w:ascii="仿宋_GB2312" w:hAnsi="仿宋_GB2312" w:eastAsia="仿宋_GB2312" w:cs="仿宋_GB2312"/>
          <w:bCs w:val="0"/>
          <w:kern w:val="0"/>
          <w:sz w:val="28"/>
          <w:szCs w:val="28"/>
          <w:highlight w:val="none"/>
        </w:rPr>
        <w:t>（不含暂列金额）</w:t>
      </w:r>
      <w:r>
        <w:rPr>
          <w:rFonts w:hint="eastAsia" w:ascii="仿宋_GB2312" w:hAnsi="仿宋_GB2312" w:eastAsia="仿宋_GB2312" w:cs="仿宋_GB2312"/>
          <w:kern w:val="0"/>
          <w:sz w:val="28"/>
          <w:szCs w:val="28"/>
          <w:highlight w:val="none"/>
        </w:rPr>
        <w:t>的100%；</w:t>
      </w:r>
    </w:p>
    <w:p w14:paraId="3F0B2627">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④</w:t>
      </w:r>
      <w:r>
        <w:rPr>
          <w:rFonts w:hint="eastAsia" w:ascii="仿宋_GB2312" w:hAnsi="仿宋_GB2312" w:eastAsia="仿宋_GB2312" w:cs="仿宋_GB2312"/>
          <w:bCs w:val="0"/>
          <w:kern w:val="0"/>
          <w:sz w:val="28"/>
          <w:szCs w:val="28"/>
          <w:highlight w:val="none"/>
        </w:rPr>
        <w:t>若标段范围内需新增监测的重点边坡时，新增的监测服务费用从暂列金额中支付。新增的监测服务费用按年度等额支付。</w:t>
      </w:r>
    </w:p>
    <w:p w14:paraId="2379FBCD">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default" w:ascii="仿宋_GB2312" w:hAnsi="仿宋_GB2312" w:eastAsia="仿宋_GB2312" w:cs="仿宋_GB2312"/>
          <w:kern w:val="0"/>
          <w:sz w:val="28"/>
          <w:szCs w:val="28"/>
          <w:lang w:val="en-US" w:eastAsia="zh-CN"/>
        </w:rPr>
      </w:pPr>
      <w:r>
        <w:rPr>
          <w:rStyle w:val="25"/>
          <w:rFonts w:hint="eastAsia" w:ascii="仿宋_GB2312" w:hAnsi="仿宋_GB2312" w:eastAsia="仿宋_GB2312" w:cs="仿宋_GB2312"/>
          <w:b w:val="0"/>
          <w:bCs w:val="0"/>
          <w:kern w:val="0"/>
          <w:sz w:val="28"/>
          <w:szCs w:val="28"/>
          <w:highlight w:val="none"/>
        </w:rPr>
        <w:fldChar w:fldCharType="begin"/>
      </w:r>
      <w:r>
        <w:rPr>
          <w:rStyle w:val="25"/>
          <w:rFonts w:hint="eastAsia" w:ascii="仿宋_GB2312" w:hAnsi="仿宋_GB2312" w:eastAsia="仿宋_GB2312" w:cs="仿宋_GB2312"/>
          <w:b w:val="0"/>
          <w:bCs w:val="0"/>
          <w:kern w:val="0"/>
          <w:sz w:val="28"/>
          <w:szCs w:val="28"/>
          <w:highlight w:val="none"/>
        </w:rPr>
        <w:instrText xml:space="preserve"> = 5 \* GB3 \* MERGEFORMAT </w:instrText>
      </w:r>
      <w:r>
        <w:rPr>
          <w:rStyle w:val="25"/>
          <w:rFonts w:hint="eastAsia" w:ascii="仿宋_GB2312" w:hAnsi="仿宋_GB2312" w:eastAsia="仿宋_GB2312" w:cs="仿宋_GB2312"/>
          <w:b w:val="0"/>
          <w:bCs w:val="0"/>
          <w:kern w:val="0"/>
          <w:sz w:val="28"/>
          <w:szCs w:val="28"/>
          <w:highlight w:val="none"/>
        </w:rPr>
        <w:fldChar w:fldCharType="separate"/>
      </w:r>
      <w:r>
        <w:rPr>
          <w:rFonts w:hint="eastAsia" w:ascii="仿宋_GB2312" w:hAnsi="仿宋_GB2312" w:eastAsia="仿宋_GB2312" w:cs="仿宋_GB2312"/>
          <w:kern w:val="0"/>
          <w:sz w:val="28"/>
          <w:szCs w:val="28"/>
        </w:rPr>
        <w:t>⑤</w:t>
      </w:r>
      <w:r>
        <w:rPr>
          <w:rStyle w:val="25"/>
          <w:rFonts w:hint="eastAsia" w:ascii="仿宋_GB2312" w:hAnsi="仿宋_GB2312" w:eastAsia="仿宋_GB2312" w:cs="仿宋_GB2312"/>
          <w:b w:val="0"/>
          <w:bCs w:val="0"/>
          <w:kern w:val="0"/>
          <w:sz w:val="28"/>
          <w:szCs w:val="28"/>
          <w:highlight w:val="none"/>
        </w:rPr>
        <w:fldChar w:fldCharType="end"/>
      </w:r>
      <w:r>
        <w:rPr>
          <w:rStyle w:val="25"/>
          <w:rFonts w:hint="eastAsia" w:ascii="仿宋" w:hAnsi="仿宋" w:eastAsia="仿宋" w:cs="仿宋"/>
          <w:b w:val="0"/>
          <w:bCs/>
          <w:sz w:val="28"/>
          <w:szCs w:val="28"/>
          <w:highlight w:val="none"/>
        </w:rPr>
        <w:t>每次付款前，受托人应提供等额的增值税专用发票，否则委托人有权拒绝付款。</w:t>
      </w:r>
    </w:p>
    <w:p w14:paraId="6996632B">
      <w:pPr>
        <w:keepNext w:val="0"/>
        <w:keepLines w:val="0"/>
        <w:pageBreakBefore w:val="0"/>
        <w:widowControl w:val="0"/>
        <w:numPr>
          <w:ilvl w:val="0"/>
          <w:numId w:val="0"/>
        </w:numPr>
        <w:tabs>
          <w:tab w:val="left" w:pos="900"/>
        </w:tabs>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rPr>
      </w:pPr>
      <w:r>
        <w:rPr>
          <w:rFonts w:hint="eastAsia" w:ascii="仿宋_GB2312" w:hAnsi="仿宋_GB2312" w:eastAsia="仿宋_GB2312" w:cs="仿宋_GB2312"/>
          <w:b/>
          <w:bCs/>
          <w:kern w:val="0"/>
          <w:sz w:val="28"/>
          <w:szCs w:val="28"/>
          <w:lang w:val="en-US" w:eastAsia="zh-CN"/>
        </w:rPr>
        <w:t>（3）其他：【】</w:t>
      </w:r>
    </w:p>
    <w:p w14:paraId="7AD077F9">
      <w:pPr>
        <w:numPr>
          <w:ilvl w:val="0"/>
          <w:numId w:val="0"/>
        </w:numPr>
        <w:tabs>
          <w:tab w:val="left" w:pos="900"/>
        </w:tabs>
        <w:overflowPunct w:val="0"/>
        <w:adjustRightInd/>
        <w:snapToGrid w:val="0"/>
        <w:spacing w:line="360" w:lineRule="auto"/>
        <w:ind w:firstLine="560" w:firstLineChars="200"/>
        <w:outlineLvl w:val="9"/>
        <w:rPr>
          <w:rFonts w:hint="eastAsia" w:ascii="仿宋_GB2312" w:hAnsi="仿宋_GB2312" w:eastAsia="仿宋_GB2312" w:cs="仿宋_GB2312"/>
          <w:bCs w:val="0"/>
          <w:snapToGrid w:val="0"/>
          <w:kern w:val="0"/>
          <w:sz w:val="28"/>
          <w:szCs w:val="28"/>
        </w:rPr>
      </w:pPr>
      <w:r>
        <w:rPr>
          <w:rFonts w:hint="default" w:ascii="仿宋_GB2312" w:hAnsi="仿宋_GB2312" w:eastAsia="仿宋_GB2312" w:cs="仿宋_GB2312"/>
          <w:b w:val="0"/>
          <w:bCs w:val="0"/>
          <w:snapToGrid w:val="0"/>
          <w:kern w:val="0"/>
          <w:sz w:val="28"/>
          <w:szCs w:val="28"/>
          <w:lang w:val="zh-CN" w:eastAsia="zh-CN" w:bidi="ar-SA"/>
        </w:rPr>
        <w:t>2.4</w:t>
      </w:r>
      <w:r>
        <w:rPr>
          <w:rFonts w:hint="eastAsia" w:ascii="仿宋_GB2312" w:hAnsi="仿宋_GB2312" w:eastAsia="仿宋_GB2312" w:cs="仿宋_GB2312"/>
          <w:b w:val="0"/>
          <w:bCs w:val="0"/>
          <w:snapToGrid w:val="0"/>
          <w:kern w:val="0"/>
          <w:sz w:val="28"/>
          <w:szCs w:val="28"/>
          <w:lang w:val="en-US" w:eastAsia="zh-CN" w:bidi="ar-SA"/>
        </w:rPr>
        <w:t xml:space="preserve"> （1）</w:t>
      </w:r>
      <w:r>
        <w:rPr>
          <w:rFonts w:hint="eastAsia" w:ascii="仿宋_GB2312" w:hAnsi="仿宋_GB2312" w:eastAsia="仿宋_GB2312" w:cs="仿宋_GB2312"/>
          <w:bCs w:val="0"/>
          <w:snapToGrid w:val="0"/>
          <w:kern w:val="0"/>
          <w:sz w:val="28"/>
          <w:szCs w:val="28"/>
        </w:rPr>
        <w:t>本合同为总价合同，监测服务费（不含暂列金额）由中标人包干使用，合同履行期间除合同条款另有规定外，其他情况均不予调整监测服务费。</w:t>
      </w:r>
    </w:p>
    <w:p w14:paraId="0DC4BF60">
      <w:pPr>
        <w:numPr>
          <w:ilvl w:val="0"/>
          <w:numId w:val="0"/>
        </w:numPr>
        <w:tabs>
          <w:tab w:val="left" w:pos="900"/>
        </w:tabs>
        <w:overflowPunct w:val="0"/>
        <w:adjustRightInd/>
        <w:snapToGrid w:val="0"/>
        <w:spacing w:line="360" w:lineRule="auto"/>
        <w:ind w:firstLine="560" w:firstLineChars="200"/>
        <w:outlineLvl w:val="9"/>
        <w:rPr>
          <w:rFonts w:hint="eastAsia" w:ascii="仿宋_GB2312" w:hAnsi="仿宋_GB2312" w:eastAsia="仿宋_GB2312" w:cs="仿宋_GB2312"/>
          <w:bCs w:val="0"/>
          <w:snapToGrid w:val="0"/>
          <w:kern w:val="0"/>
          <w:sz w:val="28"/>
          <w:szCs w:val="28"/>
        </w:rPr>
      </w:pPr>
      <w:r>
        <w:rPr>
          <w:rFonts w:hint="eastAsia" w:ascii="仿宋_GB2312" w:hAnsi="仿宋_GB2312" w:eastAsia="仿宋_GB2312" w:cs="仿宋_GB2312"/>
          <w:bCs w:val="0"/>
          <w:snapToGrid w:val="0"/>
          <w:kern w:val="0"/>
          <w:sz w:val="28"/>
          <w:szCs w:val="28"/>
        </w:rPr>
        <w:t>(2) 监测服务费包括为完成标段范围内重点高边坡自动化监测服务工作的全部费用，包括但不限于：人工费、材料费（因监测需要预埋的各种元器件）、用于监测的工程设施的修建与拆除费、办公及生活设施费、设备费、资料使用费、差旅费、食宿、通讯费、评审费、人工巡查及技术服务费、设备维护费用、管理费、利润、税费等。</w:t>
      </w:r>
    </w:p>
    <w:p w14:paraId="795249ED">
      <w:pPr>
        <w:numPr>
          <w:ilvl w:val="0"/>
          <w:numId w:val="0"/>
        </w:numPr>
        <w:tabs>
          <w:tab w:val="left" w:pos="900"/>
        </w:tabs>
        <w:overflowPunct w:val="0"/>
        <w:adjustRightInd/>
        <w:snapToGrid w:val="0"/>
        <w:spacing w:line="360" w:lineRule="auto"/>
        <w:ind w:firstLine="560" w:firstLineChars="200"/>
        <w:outlineLvl w:val="9"/>
        <w:rPr>
          <w:rFonts w:hint="eastAsia" w:ascii="仿宋_GB2312" w:hAnsi="仿宋_GB2312" w:eastAsia="仿宋_GB2312" w:cs="仿宋_GB2312"/>
          <w:bCs w:val="0"/>
          <w:snapToGrid w:val="0"/>
          <w:kern w:val="0"/>
          <w:sz w:val="28"/>
          <w:szCs w:val="28"/>
        </w:rPr>
      </w:pPr>
      <w:r>
        <w:rPr>
          <w:rFonts w:hint="eastAsia" w:ascii="仿宋_GB2312" w:hAnsi="仿宋_GB2312" w:eastAsia="仿宋_GB2312" w:cs="仿宋_GB2312"/>
          <w:bCs w:val="0"/>
          <w:snapToGrid w:val="0"/>
          <w:kern w:val="0"/>
          <w:sz w:val="28"/>
          <w:szCs w:val="28"/>
          <w:lang w:eastAsia="zh-CN"/>
        </w:rPr>
        <w:t>（</w:t>
      </w:r>
      <w:r>
        <w:rPr>
          <w:rFonts w:hint="eastAsia" w:ascii="仿宋_GB2312" w:hAnsi="仿宋_GB2312" w:eastAsia="仿宋_GB2312" w:cs="仿宋_GB2312"/>
          <w:bCs w:val="0"/>
          <w:snapToGrid w:val="0"/>
          <w:kern w:val="0"/>
          <w:sz w:val="28"/>
          <w:szCs w:val="28"/>
          <w:lang w:val="en-US" w:eastAsia="zh-CN"/>
        </w:rPr>
        <w:t>3）</w:t>
      </w:r>
      <w:r>
        <w:rPr>
          <w:rFonts w:hint="eastAsia" w:ascii="仿宋_GB2312" w:hAnsi="仿宋_GB2312" w:eastAsia="仿宋_GB2312" w:cs="仿宋_GB2312"/>
          <w:bCs w:val="0"/>
          <w:snapToGrid w:val="0"/>
          <w:kern w:val="0"/>
          <w:sz w:val="28"/>
          <w:szCs w:val="28"/>
        </w:rPr>
        <w:t>合同履行期间，不因工程量清单中监测数量的变化而调整合同费用。</w:t>
      </w:r>
    </w:p>
    <w:p w14:paraId="56118532">
      <w:pPr>
        <w:keepNext w:val="0"/>
        <w:keepLines w:val="0"/>
        <w:pageBreakBefore w:val="0"/>
        <w:widowControl/>
        <w:numPr>
          <w:ilvl w:val="0"/>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left"/>
        <w:outlineLvl w:val="9"/>
        <w:rPr>
          <w:rFonts w:hint="eastAsia" w:ascii="仿宋_GB2312" w:hAnsi="仿宋_GB2312" w:eastAsia="仿宋_GB2312" w:cs="仿宋_GB2312"/>
          <w:b w:val="0"/>
          <w:bCs w:val="0"/>
          <w:snapToGrid w:val="0"/>
          <w:kern w:val="0"/>
          <w:sz w:val="28"/>
          <w:szCs w:val="28"/>
          <w:lang w:val="en-US" w:eastAsia="zh-CN" w:bidi="ar-SA"/>
        </w:rPr>
      </w:pPr>
      <w:r>
        <w:rPr>
          <w:rFonts w:hint="eastAsia" w:ascii="仿宋_GB2312" w:hAnsi="仿宋_GB2312" w:eastAsia="仿宋_GB2312" w:cs="仿宋_GB2312"/>
          <w:b w:val="0"/>
          <w:bCs w:val="0"/>
          <w:snapToGrid w:val="0"/>
          <w:kern w:val="0"/>
          <w:sz w:val="28"/>
          <w:szCs w:val="28"/>
          <w:lang w:val="en-US" w:eastAsia="zh-CN" w:bidi="ar-SA"/>
        </w:rPr>
        <w:t>（4）</w:t>
      </w:r>
      <w:r>
        <w:rPr>
          <w:rFonts w:hint="eastAsia" w:ascii="仿宋_GB2312" w:hAnsi="仿宋_GB2312" w:eastAsia="仿宋_GB2312" w:cs="仿宋_GB2312"/>
          <w:bCs w:val="0"/>
          <w:snapToGrid w:val="0"/>
          <w:kern w:val="0"/>
          <w:sz w:val="28"/>
          <w:szCs w:val="28"/>
        </w:rPr>
        <w:t>合同履行期间，根据项目建设和运营管理需要，</w:t>
      </w:r>
      <w:bookmarkStart w:id="283" w:name="OLE_LINK43"/>
      <w:r>
        <w:rPr>
          <w:rFonts w:hint="eastAsia" w:ascii="仿宋_GB2312" w:hAnsi="仿宋_GB2312" w:eastAsia="仿宋_GB2312" w:cs="仿宋_GB2312"/>
          <w:bCs w:val="0"/>
          <w:snapToGrid w:val="0"/>
          <w:kern w:val="0"/>
          <w:sz w:val="28"/>
          <w:szCs w:val="28"/>
        </w:rPr>
        <w:t>若标段范围内需新增监测的重点边坡时，新增的监测服务费用从暂列金额中支付</w:t>
      </w:r>
      <w:bookmarkEnd w:id="283"/>
      <w:r>
        <w:rPr>
          <w:rFonts w:hint="eastAsia" w:ascii="仿宋_GB2312" w:hAnsi="仿宋_GB2312" w:eastAsia="仿宋_GB2312" w:cs="仿宋_GB2312"/>
          <w:bCs w:val="0"/>
          <w:snapToGrid w:val="0"/>
          <w:kern w:val="0"/>
          <w:sz w:val="28"/>
          <w:szCs w:val="28"/>
        </w:rPr>
        <w:t>。新增监测服务费用的金额，由甲方和乙方参考乙方工程量清单填报的价格进行协商确定。</w:t>
      </w:r>
    </w:p>
    <w:p w14:paraId="4666515C">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2.5</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甲方增值税发票开具信息：</w:t>
      </w:r>
    </w:p>
    <w:p w14:paraId="26A1894A">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 xml:space="preserve">公司名称：【】               </w:t>
      </w:r>
    </w:p>
    <w:p w14:paraId="39021262">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 xml:space="preserve">纳税人识别号：【】                 </w:t>
      </w:r>
    </w:p>
    <w:p w14:paraId="1F16DB3F">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 xml:space="preserve">地址：【】 </w:t>
      </w:r>
    </w:p>
    <w:p w14:paraId="1F816E2D">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 xml:space="preserve">电话：【】                               </w:t>
      </w:r>
    </w:p>
    <w:p w14:paraId="273EA92F">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 xml:space="preserve">开户行：【】                         </w:t>
      </w:r>
    </w:p>
    <w:p w14:paraId="59EB7777">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 xml:space="preserve">账号信息：【】                 </w:t>
      </w:r>
    </w:p>
    <w:p w14:paraId="3EDF2972">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2.6</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甲方付款前，乙方应向甲方开具符合甲方要求的合法合规的增值税【专用/普通】发票。乙方向甲方开具增值税发票的，应在发票开具后【3】日内送达甲方，送达日期以甲方签收日期为准，逾期送达导致甲方损失的，乙方应承担相应的赔偿责任。乙方未</w:t>
      </w:r>
      <w:r>
        <w:rPr>
          <w:rFonts w:hint="eastAsia" w:ascii="仿宋_GB2312" w:hAnsi="仿宋_GB2312" w:eastAsia="仿宋_GB2312" w:cs="仿宋_GB2312"/>
          <w:kern w:val="0"/>
          <w:sz w:val="28"/>
          <w:szCs w:val="28"/>
          <w:lang w:val="en-US" w:eastAsia="zh-CN"/>
        </w:rPr>
        <w:t>按</w:t>
      </w:r>
      <w:r>
        <w:rPr>
          <w:rFonts w:hint="eastAsia" w:ascii="仿宋_GB2312" w:hAnsi="仿宋_GB2312" w:eastAsia="仿宋_GB2312" w:cs="仿宋_GB2312"/>
          <w:kern w:val="0"/>
          <w:sz w:val="28"/>
          <w:szCs w:val="28"/>
          <w:lang w:val="zh-CN"/>
        </w:rPr>
        <w:t>本协议约定向甲方开具、交付增值税发票的，甲方有权拒绝或延迟支付该笔款项，并不承担任何违约责任，且甲方该拒绝付款行为不作为乙方拒绝继续履行本协议中约定的乙方义务的抗辩理由。</w:t>
      </w:r>
    </w:p>
    <w:p w14:paraId="3B62D549">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2.7</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乙方的账户信息如下：</w:t>
      </w:r>
    </w:p>
    <w:p w14:paraId="538A4344">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开户行：【】</w:t>
      </w:r>
    </w:p>
    <w:p w14:paraId="29395ADE">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 xml:space="preserve">账户名称：【】 </w:t>
      </w:r>
    </w:p>
    <w:p w14:paraId="17D922A5">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eastAsia" w:ascii="仿宋_GB2312" w:hAnsi="仿宋_GB2312" w:eastAsia="仿宋_GB2312" w:cs="仿宋_GB2312"/>
          <w:kern w:val="0"/>
          <w:sz w:val="28"/>
          <w:szCs w:val="28"/>
          <w:highlight w:val="none"/>
          <w:lang w:val="zh-CN"/>
        </w:rPr>
        <w:t>账号：【】</w:t>
      </w:r>
    </w:p>
    <w:p w14:paraId="126716D2">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联行号：【】</w:t>
      </w:r>
    </w:p>
    <w:p w14:paraId="2BC054CE">
      <w:pPr>
        <w:keepNext w:val="0"/>
        <w:keepLines w:val="0"/>
        <w:pageBreakBefore w:val="0"/>
        <w:widowControl w:val="0"/>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b w:val="0"/>
          <w:bCs w:val="0"/>
          <w:kern w:val="0"/>
          <w:sz w:val="28"/>
          <w:szCs w:val="28"/>
          <w:highlight w:val="none"/>
          <w:lang w:val="zh-CN"/>
        </w:rPr>
      </w:pPr>
      <w:r>
        <w:rPr>
          <w:rFonts w:hint="eastAsia" w:ascii="仿宋_GB2312" w:hAnsi="仿宋_GB2312" w:eastAsia="仿宋_GB2312" w:cs="仿宋_GB2312"/>
          <w:b w:val="0"/>
          <w:bCs w:val="0"/>
          <w:kern w:val="0"/>
          <w:sz w:val="28"/>
          <w:szCs w:val="28"/>
          <w:highlight w:val="none"/>
          <w:lang w:val="en-US" w:eastAsia="zh-CN"/>
        </w:rPr>
        <w:t>乙</w:t>
      </w:r>
      <w:r>
        <w:rPr>
          <w:rFonts w:hint="eastAsia" w:ascii="仿宋_GB2312" w:hAnsi="仿宋_GB2312" w:eastAsia="仿宋_GB2312" w:cs="仿宋_GB2312"/>
          <w:b w:val="0"/>
          <w:bCs w:val="0"/>
          <w:kern w:val="0"/>
          <w:sz w:val="28"/>
          <w:szCs w:val="28"/>
          <w:highlight w:val="none"/>
          <w:lang w:val="zh-CN"/>
        </w:rPr>
        <w:t>方应对所提供账户信息的真实性、安全性、准确性负责，</w:t>
      </w:r>
      <w:r>
        <w:rPr>
          <w:rFonts w:hint="eastAsia" w:ascii="仿宋_GB2312" w:hAnsi="仿宋_GB2312" w:eastAsia="仿宋_GB2312" w:cs="仿宋_GB2312"/>
          <w:b w:val="0"/>
          <w:bCs w:val="0"/>
          <w:kern w:val="0"/>
          <w:sz w:val="28"/>
          <w:szCs w:val="28"/>
          <w:highlight w:val="none"/>
          <w:lang w:val="en-US" w:eastAsia="zh-CN"/>
        </w:rPr>
        <w:t>甲</w:t>
      </w:r>
      <w:r>
        <w:rPr>
          <w:rFonts w:hint="eastAsia" w:ascii="仿宋_GB2312" w:hAnsi="仿宋_GB2312" w:eastAsia="仿宋_GB2312" w:cs="仿宋_GB2312"/>
          <w:b w:val="0"/>
          <w:bCs w:val="0"/>
          <w:kern w:val="0"/>
          <w:sz w:val="28"/>
          <w:szCs w:val="28"/>
          <w:highlight w:val="none"/>
          <w:lang w:val="zh-CN"/>
        </w:rPr>
        <w:t>方不承担此信息以外的任何责任。</w:t>
      </w:r>
      <w:r>
        <w:rPr>
          <w:rFonts w:hint="eastAsia" w:ascii="仿宋_GB2312" w:hAnsi="仿宋_GB2312" w:eastAsia="仿宋_GB2312" w:cs="仿宋_GB2312"/>
          <w:b w:val="0"/>
          <w:bCs w:val="0"/>
          <w:kern w:val="0"/>
          <w:sz w:val="28"/>
          <w:szCs w:val="28"/>
          <w:highlight w:val="none"/>
          <w:lang w:val="en-US" w:eastAsia="zh-CN"/>
        </w:rPr>
        <w:t>乙</w:t>
      </w:r>
      <w:r>
        <w:rPr>
          <w:rFonts w:hint="eastAsia" w:ascii="仿宋_GB2312" w:hAnsi="仿宋_GB2312" w:eastAsia="仿宋_GB2312" w:cs="仿宋_GB2312"/>
          <w:b w:val="0"/>
          <w:bCs w:val="0"/>
          <w:kern w:val="0"/>
          <w:sz w:val="28"/>
          <w:szCs w:val="28"/>
          <w:highlight w:val="none"/>
          <w:lang w:val="zh-CN"/>
        </w:rPr>
        <w:t>方收款信息发生变更的，应提前一个月书面告知</w:t>
      </w:r>
      <w:r>
        <w:rPr>
          <w:rFonts w:hint="eastAsia" w:ascii="仿宋_GB2312" w:hAnsi="仿宋_GB2312" w:eastAsia="仿宋_GB2312" w:cs="仿宋_GB2312"/>
          <w:b w:val="0"/>
          <w:bCs w:val="0"/>
          <w:kern w:val="0"/>
          <w:sz w:val="28"/>
          <w:szCs w:val="28"/>
          <w:highlight w:val="none"/>
          <w:lang w:val="en-US" w:eastAsia="zh-CN"/>
        </w:rPr>
        <w:t>甲</w:t>
      </w:r>
      <w:r>
        <w:rPr>
          <w:rFonts w:hint="eastAsia" w:ascii="仿宋_GB2312" w:hAnsi="仿宋_GB2312" w:eastAsia="仿宋_GB2312" w:cs="仿宋_GB2312"/>
          <w:b w:val="0"/>
          <w:bCs w:val="0"/>
          <w:kern w:val="0"/>
          <w:sz w:val="28"/>
          <w:szCs w:val="28"/>
          <w:highlight w:val="none"/>
          <w:lang w:val="zh-CN"/>
        </w:rPr>
        <w:t>方，否则因此造成的损失由</w:t>
      </w:r>
      <w:r>
        <w:rPr>
          <w:rFonts w:hint="eastAsia" w:ascii="仿宋_GB2312" w:hAnsi="仿宋_GB2312" w:eastAsia="仿宋_GB2312" w:cs="仿宋_GB2312"/>
          <w:b w:val="0"/>
          <w:bCs w:val="0"/>
          <w:kern w:val="0"/>
          <w:sz w:val="28"/>
          <w:szCs w:val="28"/>
          <w:highlight w:val="none"/>
          <w:lang w:val="en-US" w:eastAsia="zh-CN"/>
        </w:rPr>
        <w:t>乙</w:t>
      </w:r>
      <w:r>
        <w:rPr>
          <w:rFonts w:hint="eastAsia" w:ascii="仿宋_GB2312" w:hAnsi="仿宋_GB2312" w:eastAsia="仿宋_GB2312" w:cs="仿宋_GB2312"/>
          <w:b w:val="0"/>
          <w:bCs w:val="0"/>
          <w:kern w:val="0"/>
          <w:sz w:val="28"/>
          <w:szCs w:val="28"/>
          <w:highlight w:val="none"/>
          <w:lang w:val="zh-CN"/>
        </w:rPr>
        <w:t>方自行承担。</w:t>
      </w:r>
    </w:p>
    <w:p w14:paraId="10D585C0">
      <w:pPr>
        <w:pageBreakBefore w:val="0"/>
        <w:widowControl w:val="0"/>
        <w:numPr>
          <w:ilvl w:val="1"/>
          <w:numId w:val="0"/>
        </w:numPr>
        <w:tabs>
          <w:tab w:val="left" w:pos="900"/>
        </w:tabs>
        <w:kinsoku/>
        <w:wordWrap/>
        <w:overflowPunct w:val="0"/>
        <w:topLinePunct w:val="0"/>
        <w:bidi w:val="0"/>
        <w:adjustRightInd/>
        <w:snapToGrid/>
        <w:spacing w:before="0" w:afterLines="0" w:line="360" w:lineRule="auto"/>
        <w:ind w:left="0" w:firstLine="560" w:firstLineChars="200"/>
        <w:jc w:val="both"/>
        <w:rPr>
          <w:rFonts w:hint="eastAsia" w:ascii="仿宋_GB2312" w:hAnsi="仿宋_GB2312" w:eastAsia="仿宋_GB2312" w:cs="仿宋_GB2312"/>
          <w:color w:val="000000"/>
          <w:kern w:val="0"/>
          <w:sz w:val="28"/>
          <w:szCs w:val="28"/>
          <w:lang w:val="en-US" w:eastAsia="zh-CN" w:bidi="ar-SA"/>
        </w:rPr>
      </w:pPr>
      <w:r>
        <w:rPr>
          <w:rFonts w:hint="default" w:ascii="仿宋_GB2312" w:hAnsi="仿宋_GB2312" w:eastAsia="仿宋_GB2312" w:cs="仿宋_GB2312"/>
          <w:b w:val="0"/>
          <w:bCs w:val="0"/>
          <w:kern w:val="0"/>
          <w:sz w:val="28"/>
          <w:szCs w:val="28"/>
          <w:lang w:val="zh-CN" w:eastAsia="zh-CN" w:bidi="ar-SA"/>
        </w:rPr>
        <w:t>2.8</w:t>
      </w:r>
      <w:r>
        <w:rPr>
          <w:rFonts w:hint="eastAsia" w:ascii="仿宋_GB2312" w:hAnsi="仿宋_GB2312" w:eastAsia="仿宋_GB2312" w:cs="仿宋_GB2312"/>
          <w:b w:val="0"/>
          <w:bCs w:val="0"/>
          <w:kern w:val="0"/>
          <w:sz w:val="28"/>
          <w:szCs w:val="28"/>
          <w:lang w:val="en-US" w:eastAsia="zh-CN" w:bidi="ar-SA"/>
        </w:rPr>
        <w:t xml:space="preserve"> </w:t>
      </w:r>
      <w:r>
        <w:rPr>
          <w:rFonts w:hint="eastAsia" w:ascii="仿宋_GB2312" w:hAnsi="仿宋_GB2312" w:eastAsia="仿宋_GB2312" w:cs="仿宋_GB2312"/>
          <w:b w:val="0"/>
          <w:bCs w:val="0"/>
          <w:kern w:val="0"/>
          <w:sz w:val="28"/>
          <w:szCs w:val="28"/>
          <w:lang w:val="zh-CN"/>
        </w:rPr>
        <w:t>乙方同意，乙方有赔偿损失和/或支付违约金责任的，甲方有权直接从应支付的任何一笔款项中扣除相应金额。</w:t>
      </w:r>
    </w:p>
    <w:p w14:paraId="22A64F49">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3.双方权利和义务</w:t>
      </w:r>
    </w:p>
    <w:p w14:paraId="3E9245F3">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b w:val="0"/>
          <w:bCs w:val="0"/>
          <w:kern w:val="0"/>
          <w:sz w:val="28"/>
          <w:szCs w:val="28"/>
          <w:lang w:val="zh-CN"/>
        </w:rPr>
      </w:pPr>
      <w:r>
        <w:rPr>
          <w:rFonts w:hint="eastAsia" w:ascii="仿宋_GB2312" w:hAnsi="仿宋_GB2312" w:eastAsia="仿宋_GB2312" w:cs="仿宋_GB2312"/>
          <w:b w:val="0"/>
          <w:bCs w:val="0"/>
          <w:kern w:val="0"/>
          <w:sz w:val="28"/>
          <w:szCs w:val="28"/>
          <w:lang w:val="zh-CN" w:eastAsia="zh-CN" w:bidi="ar-SA"/>
        </w:rPr>
        <w:t>3.1</w:t>
      </w:r>
      <w:r>
        <w:rPr>
          <w:rFonts w:hint="eastAsia" w:ascii="仿宋_GB2312" w:hAnsi="仿宋_GB2312" w:eastAsia="仿宋_GB2312" w:cs="仿宋_GB2312"/>
          <w:b w:val="0"/>
          <w:bCs w:val="0"/>
          <w:kern w:val="0"/>
          <w:sz w:val="28"/>
          <w:szCs w:val="28"/>
          <w:lang w:val="en-US" w:eastAsia="zh-CN" w:bidi="ar-SA"/>
        </w:rPr>
        <w:t xml:space="preserve"> </w:t>
      </w:r>
      <w:r>
        <w:rPr>
          <w:rFonts w:hint="eastAsia" w:ascii="仿宋_GB2312" w:hAnsi="仿宋_GB2312" w:eastAsia="仿宋_GB2312" w:cs="仿宋_GB2312"/>
          <w:b w:val="0"/>
          <w:bCs w:val="0"/>
          <w:kern w:val="0"/>
          <w:sz w:val="28"/>
          <w:szCs w:val="28"/>
          <w:lang w:val="zh-CN"/>
        </w:rPr>
        <w:t>甲方权利和义务</w:t>
      </w:r>
    </w:p>
    <w:p w14:paraId="1486FB94">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3.1.1 </w:t>
      </w:r>
      <w:r>
        <w:rPr>
          <w:rFonts w:hint="eastAsia" w:ascii="仿宋_GB2312" w:hAnsi="仿宋_GB2312" w:eastAsia="仿宋_GB2312" w:cs="仿宋_GB2312"/>
          <w:kern w:val="0"/>
          <w:sz w:val="28"/>
          <w:szCs w:val="28"/>
        </w:rPr>
        <w:t>甲方应与乙方服务人员积极沟通，向乙方服务人员提供基础资料，以便乙方完成技术服务相关工作。</w:t>
      </w:r>
    </w:p>
    <w:p w14:paraId="10866A37">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3.1.2 </w:t>
      </w:r>
      <w:r>
        <w:rPr>
          <w:rFonts w:hint="eastAsia" w:ascii="仿宋" w:hAnsi="仿宋" w:eastAsia="仿宋" w:cs="仿宋"/>
          <w:b w:val="0"/>
          <w:bCs/>
          <w:color w:val="000000"/>
          <w:sz w:val="28"/>
          <w:szCs w:val="28"/>
          <w:highlight w:val="none"/>
        </w:rPr>
        <w:t>本服务项目中</w:t>
      </w:r>
      <w:r>
        <w:rPr>
          <w:rFonts w:hint="eastAsia" w:ascii="仿宋" w:hAnsi="仿宋" w:eastAsia="仿宋" w:cs="仿宋"/>
          <w:b w:val="0"/>
          <w:bCs/>
          <w:color w:val="000000"/>
          <w:sz w:val="28"/>
          <w:szCs w:val="28"/>
          <w:highlight w:val="none"/>
          <w:lang w:eastAsia="zh-CN"/>
        </w:rPr>
        <w:t>涉及</w:t>
      </w:r>
      <w:r>
        <w:rPr>
          <w:rFonts w:hint="eastAsia" w:ascii="仿宋" w:hAnsi="仿宋" w:eastAsia="仿宋" w:cs="仿宋"/>
          <w:b w:val="0"/>
          <w:bCs/>
          <w:color w:val="000000"/>
          <w:sz w:val="28"/>
          <w:szCs w:val="28"/>
          <w:highlight w:val="none"/>
        </w:rPr>
        <w:t>需要甲方配合时，甲方接到乙方服务人员需要相关配合通知后及时予以配合。</w:t>
      </w:r>
    </w:p>
    <w:p w14:paraId="672FD506">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3.1.3 </w:t>
      </w:r>
      <w:r>
        <w:rPr>
          <w:rFonts w:hint="eastAsia" w:ascii="仿宋" w:hAnsi="仿宋" w:eastAsia="仿宋" w:cs="仿宋"/>
          <w:b w:val="0"/>
          <w:bCs/>
          <w:color w:val="000000"/>
          <w:sz w:val="28"/>
          <w:szCs w:val="28"/>
          <w:highlight w:val="none"/>
        </w:rPr>
        <w:t>本服务项目中乙方利用技术服务费所购置与技术服务工作有关的设备、器材、资料等财产，归甲方所有。</w:t>
      </w:r>
    </w:p>
    <w:p w14:paraId="0AA37F97">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3.1.4 </w:t>
      </w:r>
      <w:r>
        <w:rPr>
          <w:rFonts w:hint="eastAsia" w:ascii="仿宋" w:hAnsi="仿宋" w:eastAsia="仿宋" w:cs="仿宋"/>
          <w:b w:val="0"/>
          <w:bCs/>
          <w:color w:val="000000"/>
          <w:sz w:val="28"/>
          <w:szCs w:val="28"/>
          <w:highlight w:val="none"/>
        </w:rPr>
        <w:t>甲方应按照本合同约定向乙方支付技术服务费用。</w:t>
      </w:r>
    </w:p>
    <w:p w14:paraId="085D2B92">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b w:val="0"/>
          <w:bCs w:val="0"/>
          <w:kern w:val="0"/>
          <w:sz w:val="28"/>
          <w:szCs w:val="28"/>
          <w:lang w:val="zh-CN"/>
        </w:rPr>
      </w:pPr>
      <w:r>
        <w:rPr>
          <w:rFonts w:hint="eastAsia" w:ascii="仿宋_GB2312" w:hAnsi="仿宋_GB2312" w:eastAsia="仿宋_GB2312" w:cs="仿宋_GB2312"/>
          <w:b w:val="0"/>
          <w:bCs w:val="0"/>
          <w:kern w:val="0"/>
          <w:sz w:val="28"/>
          <w:szCs w:val="28"/>
          <w:lang w:val="zh-CN" w:eastAsia="zh-CN" w:bidi="ar-SA"/>
        </w:rPr>
        <w:t>3.2</w:t>
      </w:r>
      <w:r>
        <w:rPr>
          <w:rFonts w:hint="eastAsia" w:ascii="仿宋_GB2312" w:hAnsi="仿宋_GB2312" w:eastAsia="仿宋_GB2312" w:cs="仿宋_GB2312"/>
          <w:b w:val="0"/>
          <w:bCs w:val="0"/>
          <w:kern w:val="0"/>
          <w:sz w:val="28"/>
          <w:szCs w:val="28"/>
          <w:lang w:val="en-US" w:eastAsia="zh-CN" w:bidi="ar-SA"/>
        </w:rPr>
        <w:t xml:space="preserve"> </w:t>
      </w:r>
      <w:r>
        <w:rPr>
          <w:rFonts w:hint="eastAsia" w:ascii="仿宋_GB2312" w:hAnsi="仿宋_GB2312" w:eastAsia="仿宋_GB2312" w:cs="仿宋_GB2312"/>
          <w:b w:val="0"/>
          <w:bCs w:val="0"/>
          <w:kern w:val="0"/>
          <w:sz w:val="28"/>
          <w:szCs w:val="28"/>
          <w:lang w:val="zh-CN"/>
        </w:rPr>
        <w:t>乙方权利和义务</w:t>
      </w:r>
    </w:p>
    <w:p w14:paraId="69AA2F6E">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3.2.1 </w:t>
      </w:r>
      <w:r>
        <w:rPr>
          <w:rFonts w:hint="eastAsia" w:ascii="仿宋" w:hAnsi="仿宋" w:eastAsia="仿宋" w:cs="仿宋"/>
          <w:b w:val="0"/>
          <w:bCs/>
          <w:color w:val="000000"/>
          <w:sz w:val="28"/>
          <w:szCs w:val="28"/>
          <w:highlight w:val="none"/>
        </w:rPr>
        <w:t>乙方及其配备的服务人员应当具备签订本服务项目的资质条件，并向甲方提供相关证明（复印件加盖公司公章）。</w:t>
      </w:r>
    </w:p>
    <w:p w14:paraId="3B2477F3">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color w:val="000000"/>
          <w:sz w:val="28"/>
          <w:szCs w:val="28"/>
          <w:highlight w:val="none"/>
        </w:rPr>
      </w:pPr>
      <w:r>
        <w:rPr>
          <w:rFonts w:hint="eastAsia" w:ascii="仿宋_GB2312" w:hAnsi="仿宋_GB2312" w:eastAsia="仿宋_GB2312" w:cs="仿宋_GB2312"/>
          <w:kern w:val="0"/>
          <w:sz w:val="28"/>
          <w:szCs w:val="28"/>
          <w:lang w:val="en-US" w:eastAsia="zh-CN" w:bidi="ar-SA"/>
        </w:rPr>
        <w:t xml:space="preserve">3.2.2 </w:t>
      </w:r>
      <w:r>
        <w:rPr>
          <w:rFonts w:hint="eastAsia" w:ascii="仿宋" w:hAnsi="仿宋" w:eastAsia="仿宋" w:cs="仿宋"/>
          <w:b w:val="0"/>
          <w:bCs/>
          <w:color w:val="000000"/>
          <w:sz w:val="28"/>
          <w:szCs w:val="28"/>
          <w:highlight w:val="none"/>
        </w:rPr>
        <w:t>乙方应指定一名项目负责人（姓名：</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联系方式：</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），技术负责人（姓名：</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联系方式：</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），并保证其服务团队人员的稳定性。乙方更换项目负责人时，应提前</w:t>
      </w:r>
      <w:r>
        <w:rPr>
          <w:rFonts w:hint="eastAsia" w:ascii="仿宋" w:hAnsi="仿宋" w:eastAsia="仿宋" w:cs="仿宋"/>
          <w:b w:val="0"/>
          <w:bCs/>
          <w:color w:val="000000"/>
          <w:sz w:val="28"/>
          <w:szCs w:val="28"/>
          <w:highlight w:val="none"/>
          <w:lang w:val="en-US" w:eastAsia="zh-CN"/>
        </w:rPr>
        <w:t>14</w:t>
      </w:r>
      <w:r>
        <w:rPr>
          <w:rFonts w:hint="eastAsia" w:ascii="仿宋" w:hAnsi="仿宋" w:eastAsia="仿宋" w:cs="仿宋"/>
          <w:b w:val="0"/>
          <w:bCs/>
          <w:color w:val="000000"/>
          <w:sz w:val="28"/>
          <w:szCs w:val="28"/>
          <w:highlight w:val="none"/>
        </w:rPr>
        <w:t>日书面告知甲方，获得甲方书面同意更换人员的回复后方可进行更换，更换后的负责人不得低于合同约定的资质或资格。</w:t>
      </w:r>
    </w:p>
    <w:p w14:paraId="53BFD60C">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color w:val="000000"/>
          <w:sz w:val="28"/>
          <w:szCs w:val="28"/>
          <w:highlight w:val="none"/>
        </w:rPr>
      </w:pPr>
      <w:r>
        <w:rPr>
          <w:rFonts w:hint="eastAsia" w:ascii="仿宋_GB2312" w:hAnsi="仿宋_GB2312" w:eastAsia="仿宋_GB2312" w:cs="仿宋_GB2312"/>
          <w:kern w:val="0"/>
          <w:sz w:val="28"/>
          <w:szCs w:val="28"/>
          <w:lang w:val="en-US" w:eastAsia="zh-CN" w:bidi="ar-SA"/>
        </w:rPr>
        <w:t xml:space="preserve">3.2.3 </w:t>
      </w:r>
      <w:r>
        <w:rPr>
          <w:rFonts w:hint="eastAsia" w:ascii="仿宋" w:hAnsi="仿宋" w:eastAsia="仿宋" w:cs="仿宋"/>
          <w:b w:val="0"/>
          <w:bCs/>
          <w:color w:val="000000"/>
          <w:sz w:val="28"/>
          <w:szCs w:val="28"/>
          <w:highlight w:val="none"/>
        </w:rPr>
        <w:t>乙方应按国家现行法规、相关政策性文件和合同约定的范围、内容进行技术服务工作，向甲方提供所需基础资料及文件清单，按合同规定的时间向甲方交付技术服务成果，并对提交的技术服务成果文件的质量负责。</w:t>
      </w:r>
    </w:p>
    <w:p w14:paraId="61F3331B">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 w:hAnsi="仿宋" w:eastAsia="仿宋" w:cs="仿宋"/>
          <w:b w:val="0"/>
          <w:bCs/>
          <w:color w:val="000000"/>
          <w:sz w:val="28"/>
          <w:szCs w:val="28"/>
          <w:highlight w:val="none"/>
        </w:rPr>
      </w:pPr>
      <w:r>
        <w:rPr>
          <w:rFonts w:hint="eastAsia" w:ascii="仿宋_GB2312" w:hAnsi="仿宋_GB2312" w:eastAsia="仿宋_GB2312" w:cs="仿宋_GB2312"/>
          <w:kern w:val="0"/>
          <w:sz w:val="28"/>
          <w:szCs w:val="28"/>
          <w:lang w:val="en-US" w:eastAsia="zh-CN" w:bidi="ar-SA"/>
        </w:rPr>
        <w:t xml:space="preserve">3.2.4 </w:t>
      </w:r>
      <w:r>
        <w:rPr>
          <w:rFonts w:hint="eastAsia" w:ascii="仿宋" w:hAnsi="仿宋" w:eastAsia="仿宋" w:cs="仿宋"/>
          <w:b w:val="0"/>
          <w:bCs/>
          <w:color w:val="000000"/>
          <w:sz w:val="28"/>
          <w:szCs w:val="28"/>
          <w:highlight w:val="none"/>
        </w:rPr>
        <w:t>乙方对技术服务成果文件中出现的遗漏或错误负责补充或修改。</w:t>
      </w:r>
    </w:p>
    <w:p w14:paraId="03A7E1F3">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3.2.5 </w:t>
      </w:r>
      <w:r>
        <w:rPr>
          <w:rFonts w:hint="eastAsia" w:ascii="仿宋" w:hAnsi="仿宋" w:eastAsia="仿宋" w:cs="仿宋"/>
          <w:b w:val="0"/>
          <w:bCs/>
          <w:color w:val="000000"/>
          <w:sz w:val="28"/>
          <w:szCs w:val="28"/>
          <w:highlight w:val="none"/>
        </w:rPr>
        <w:t>对于甲方以书面形式提出的建议或者异议，乙方应在</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3</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日内给予书面答复。</w:t>
      </w:r>
    </w:p>
    <w:p w14:paraId="3C6498D8">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 w:hAnsi="仿宋" w:eastAsia="仿宋" w:cs="仿宋"/>
          <w:b w:val="0"/>
          <w:bCs/>
          <w:color w:val="000000"/>
          <w:sz w:val="28"/>
          <w:szCs w:val="28"/>
          <w:highlight w:val="none"/>
        </w:rPr>
      </w:pPr>
      <w:r>
        <w:rPr>
          <w:rFonts w:hint="eastAsia" w:ascii="仿宋_GB2312" w:hAnsi="仿宋_GB2312" w:eastAsia="仿宋_GB2312" w:cs="仿宋_GB2312"/>
          <w:kern w:val="0"/>
          <w:sz w:val="28"/>
          <w:szCs w:val="28"/>
          <w:lang w:val="en-US" w:eastAsia="zh-CN" w:bidi="ar-SA"/>
        </w:rPr>
        <w:t xml:space="preserve">3.2.6 </w:t>
      </w:r>
      <w:r>
        <w:rPr>
          <w:rFonts w:hint="eastAsia" w:ascii="仿宋" w:hAnsi="仿宋" w:eastAsia="仿宋" w:cs="仿宋"/>
          <w:b w:val="0"/>
          <w:bCs/>
          <w:color w:val="000000"/>
          <w:sz w:val="28"/>
          <w:szCs w:val="28"/>
          <w:highlight w:val="none"/>
        </w:rPr>
        <w:t>乙方不得转包承接的技术服务工作。</w:t>
      </w:r>
    </w:p>
    <w:p w14:paraId="206D3844">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仿宋" w:hAnsi="仿宋" w:eastAsia="仿宋" w:cs="仿宋"/>
          <w:b w:val="0"/>
          <w:bCs/>
          <w:color w:val="000000"/>
          <w:sz w:val="28"/>
          <w:szCs w:val="28"/>
          <w:highlight w:val="none"/>
        </w:rPr>
      </w:pPr>
      <w:r>
        <w:rPr>
          <w:rFonts w:hint="eastAsia" w:ascii="仿宋_GB2312" w:hAnsi="仿宋_GB2312" w:eastAsia="仿宋_GB2312" w:cs="仿宋_GB2312"/>
          <w:kern w:val="0"/>
          <w:sz w:val="28"/>
          <w:szCs w:val="28"/>
          <w:lang w:val="en-US" w:eastAsia="zh-CN" w:bidi="ar-SA"/>
        </w:rPr>
        <w:t xml:space="preserve">3.2.7 </w:t>
      </w:r>
      <w:r>
        <w:rPr>
          <w:rFonts w:hint="eastAsia" w:ascii="仿宋" w:hAnsi="仿宋" w:eastAsia="仿宋" w:cs="仿宋"/>
          <w:b w:val="0"/>
          <w:bCs/>
          <w:color w:val="000000"/>
          <w:sz w:val="28"/>
          <w:szCs w:val="28"/>
          <w:highlight w:val="none"/>
        </w:rPr>
        <w:t>在服务期间根据甲方要求，赴现场人员应在甲方现场项目负责人的领导和协调下，认真解决与技术服务有关的问题并满足甲方提出的要求，较复</w:t>
      </w:r>
      <w:r>
        <w:rPr>
          <w:rFonts w:hint="eastAsia" w:ascii="仿宋" w:hAnsi="仿宋" w:eastAsia="仿宋" w:cs="仿宋"/>
          <w:b w:val="0"/>
          <w:bCs/>
          <w:color w:val="000000"/>
          <w:sz w:val="28"/>
          <w:szCs w:val="28"/>
          <w:highlight w:val="none"/>
          <w:lang w:eastAsia="zh-CN"/>
        </w:rPr>
        <w:t>杂的</w:t>
      </w:r>
      <w:r>
        <w:rPr>
          <w:rFonts w:hint="eastAsia" w:ascii="仿宋" w:hAnsi="仿宋" w:eastAsia="仿宋" w:cs="仿宋"/>
          <w:b w:val="0"/>
          <w:bCs/>
          <w:color w:val="000000"/>
          <w:sz w:val="28"/>
          <w:szCs w:val="28"/>
          <w:highlight w:val="none"/>
        </w:rPr>
        <w:t>技术问题由项目负责人与有关专业人员根据问题性质、起因、工作量大小等及时制定对策，以免影响项目进度，确保项目质量，乙方承诺在收到甲方通知后24小时内提供及时的服务。</w:t>
      </w:r>
    </w:p>
    <w:p w14:paraId="30DB4765">
      <w:pPr>
        <w:keepNext w:val="0"/>
        <w:keepLines w:val="0"/>
        <w:pageBreakBefore w:val="0"/>
        <w:widowControl w:val="0"/>
        <w:numPr>
          <w:ilvl w:val="2"/>
          <w:numId w:val="0"/>
        </w:numPr>
        <w:tabs>
          <w:tab w:val="left" w:pos="18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3.2.8 </w:t>
      </w:r>
      <w:r>
        <w:rPr>
          <w:rFonts w:hint="eastAsia" w:ascii="仿宋" w:hAnsi="仿宋" w:eastAsia="仿宋" w:cs="仿宋"/>
          <w:b w:val="0"/>
          <w:bCs/>
          <w:color w:val="000000"/>
          <w:sz w:val="28"/>
          <w:szCs w:val="28"/>
          <w:highlight w:val="none"/>
          <w:lang w:eastAsia="zh-CN"/>
        </w:rPr>
        <w:t>乙方应根据工程进度、难易程度、现场条件等因素，在施工现场独立建立服务机构，配备相应的人员、各类必需的监测设备、交通设施、办公生活设施等，并确保能满足合同要求和项目需要。乙方应在签订合同后的7天内，向甲方提交投入到本项目人员的名单、简历，及设备设施清单。乙方应按甲方要求合理调配本项目服务人员的人数及进出场时间，以便很好地满足各阶段需要。</w:t>
      </w:r>
    </w:p>
    <w:p w14:paraId="6F14DC38">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9"/>
        <w:rPr>
          <w:rFonts w:ascii="Calibri" w:hAnsi="Calibri" w:eastAsia="宋体" w:cs="Times New Roman"/>
          <w:sz w:val="21"/>
          <w:szCs w:val="24"/>
          <w:highlight w:val="none"/>
        </w:rPr>
      </w:pPr>
      <w:r>
        <w:rPr>
          <w:rFonts w:hint="eastAsia" w:ascii="仿宋_GB2312" w:hAnsi="仿宋_GB2312" w:eastAsia="仿宋_GB2312" w:cs="仿宋_GB2312"/>
          <w:kern w:val="0"/>
          <w:sz w:val="28"/>
          <w:szCs w:val="28"/>
          <w:lang w:val="en-US" w:eastAsia="zh-CN" w:bidi="ar-SA"/>
        </w:rPr>
        <w:t xml:space="preserve">3.2.9 </w:t>
      </w:r>
      <w:r>
        <w:rPr>
          <w:rFonts w:hint="eastAsia" w:ascii="仿宋" w:hAnsi="仿宋" w:eastAsia="仿宋" w:cs="仿宋"/>
          <w:b w:val="0"/>
          <w:bCs/>
          <w:color w:val="000000"/>
          <w:sz w:val="28"/>
          <w:szCs w:val="28"/>
          <w:highlight w:val="none"/>
          <w:lang w:eastAsia="zh-CN"/>
        </w:rPr>
        <w:t>尽管乙方已按批准的人员、设备进场计划派遣了监测服务人员、设备，但若甲方认为现场监测服务人员、设备仍不足以满足服务的需要而影响了监测服务工作时，甲方有权要求乙方另外增派（或雇用）监测服务人员、设备。乙方在接到通知后应立即执行，不得无故拖延。乙方因此增加的费用应视为已包括在合同总价之中，甲方将不另行支付。</w:t>
      </w:r>
    </w:p>
    <w:p w14:paraId="0656A18F">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560" w:firstLineChars="0"/>
        <w:jc w:val="left"/>
        <w:outlineLvl w:val="9"/>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bidi="ar-SA"/>
        </w:rPr>
        <w:t xml:space="preserve">3.2.10 </w:t>
      </w:r>
      <w:r>
        <w:rPr>
          <w:rFonts w:hint="eastAsia" w:ascii="仿宋" w:hAnsi="仿宋" w:eastAsia="仿宋" w:cs="仿宋"/>
          <w:bCs/>
          <w:color w:val="000000"/>
          <w:sz w:val="28"/>
          <w:szCs w:val="28"/>
          <w:highlight w:val="none"/>
          <w:lang w:eastAsia="zh-CN"/>
        </w:rPr>
        <w:t>若乙方因工作安排或其它原因，需要更换派驻到项目所在地履行服务的主要人员时，更换人员的资格条件不应低于原人员的资格条件，并应事先得到甲方的批准。</w:t>
      </w:r>
    </w:p>
    <w:p w14:paraId="7C9ACE3A">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_GB2312" w:hAnsi="仿宋_GB2312" w:eastAsia="仿宋_GB2312" w:cs="仿宋_GB2312"/>
          <w:kern w:val="0"/>
          <w:sz w:val="28"/>
          <w:szCs w:val="28"/>
          <w:lang w:val="en-US" w:eastAsia="zh-CN" w:bidi="ar-SA"/>
        </w:rPr>
        <w:t xml:space="preserve">3.2.11 </w:t>
      </w:r>
      <w:r>
        <w:rPr>
          <w:rFonts w:hint="eastAsia" w:ascii="仿宋" w:hAnsi="仿宋" w:eastAsia="仿宋" w:cs="仿宋"/>
          <w:bCs/>
          <w:color w:val="000000"/>
          <w:sz w:val="28"/>
          <w:szCs w:val="28"/>
          <w:highlight w:val="none"/>
          <w:lang w:eastAsia="zh-CN"/>
        </w:rPr>
        <w:t>乙方应妥善保管监测预埋、预设的各种测试元件（如有），并保证这些测试元件的可靠性和耐久性。永久性预埋、预设的各种测试元件属于甲方财产，乙方完成监测后应将测试元件的埋置位置、规格型号、技术参数等一并移交给甲方。</w:t>
      </w:r>
    </w:p>
    <w:p w14:paraId="56B3AD8F">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_GB2312" w:hAnsi="仿宋_GB2312" w:eastAsia="仿宋_GB2312" w:cs="仿宋_GB2312"/>
          <w:kern w:val="0"/>
          <w:sz w:val="28"/>
          <w:szCs w:val="28"/>
          <w:lang w:val="en-US" w:eastAsia="zh-CN" w:bidi="ar-SA"/>
        </w:rPr>
        <w:t xml:space="preserve">3.2.12 </w:t>
      </w:r>
      <w:r>
        <w:rPr>
          <w:rFonts w:hint="eastAsia" w:ascii="仿宋" w:hAnsi="仿宋" w:eastAsia="仿宋" w:cs="仿宋"/>
          <w:bCs/>
          <w:color w:val="000000"/>
          <w:sz w:val="28"/>
          <w:szCs w:val="28"/>
          <w:highlight w:val="none"/>
          <w:lang w:eastAsia="zh-CN"/>
        </w:rPr>
        <w:t>有关规范、规程、标准等技术文件应齐全，监测人员要加强学习，严格按有关标准、规程及规范进行操作，保证监测数据的准确性。</w:t>
      </w:r>
    </w:p>
    <w:p w14:paraId="7F2069FA">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_GB2312" w:hAnsi="仿宋_GB2312" w:eastAsia="仿宋_GB2312" w:cs="仿宋_GB2312"/>
          <w:kern w:val="0"/>
          <w:sz w:val="28"/>
          <w:szCs w:val="28"/>
          <w:lang w:val="en-US" w:eastAsia="zh-CN" w:bidi="ar-SA"/>
        </w:rPr>
        <w:t xml:space="preserve">3.2.13 </w:t>
      </w:r>
      <w:r>
        <w:rPr>
          <w:rFonts w:hint="eastAsia" w:ascii="仿宋" w:hAnsi="仿宋" w:eastAsia="仿宋" w:cs="仿宋"/>
          <w:bCs/>
          <w:color w:val="000000"/>
          <w:sz w:val="28"/>
          <w:szCs w:val="28"/>
          <w:highlight w:val="none"/>
          <w:lang w:eastAsia="zh-CN"/>
        </w:rPr>
        <w:t>对监测工作统筹安排，细化工作内容，根据工程情况细化监测总体计划。保证监测的及时性，及时开展相关监测工作，及时出具报告，及时上报发现的问题。</w:t>
      </w:r>
    </w:p>
    <w:p w14:paraId="1D6A8154">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3.2.14</w:t>
      </w:r>
      <w:r>
        <w:rPr>
          <w:rFonts w:hint="eastAsia" w:ascii="仿宋" w:hAnsi="仿宋" w:eastAsia="仿宋" w:cs="仿宋"/>
          <w:bCs/>
          <w:color w:val="000000"/>
          <w:sz w:val="28"/>
          <w:szCs w:val="28"/>
          <w:highlight w:val="none"/>
          <w:lang w:eastAsia="zh-CN"/>
        </w:rPr>
        <w:t>坚持独立开展监测工作，保证监测数据真实反映现场情况。</w:t>
      </w:r>
    </w:p>
    <w:p w14:paraId="3CA7028D">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3.2.15</w:t>
      </w:r>
      <w:r>
        <w:rPr>
          <w:rFonts w:hint="eastAsia" w:ascii="仿宋" w:hAnsi="仿宋" w:eastAsia="仿宋" w:cs="仿宋"/>
          <w:bCs/>
          <w:color w:val="000000"/>
          <w:sz w:val="28"/>
          <w:szCs w:val="28"/>
          <w:highlight w:val="none"/>
          <w:lang w:eastAsia="zh-CN"/>
        </w:rPr>
        <w:t>建立内部工作文件、技术文件的管理及保密制度、加强档案管理。</w:t>
      </w:r>
    </w:p>
    <w:p w14:paraId="2C5DF6E9">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3.2.16</w:t>
      </w:r>
      <w:r>
        <w:rPr>
          <w:rFonts w:hint="eastAsia" w:ascii="仿宋" w:hAnsi="仿宋" w:eastAsia="仿宋" w:cs="仿宋"/>
          <w:bCs/>
          <w:color w:val="000000"/>
          <w:sz w:val="28"/>
          <w:szCs w:val="28"/>
          <w:highlight w:val="none"/>
          <w:lang w:eastAsia="zh-CN"/>
        </w:rPr>
        <w:t>乙方应做好安全生产工作，进入监测现场前须按规定穿戴个人安全防护用品，安全规范操作。如发现安全隐患，要及时报告甲方。若因乙方原因造成安全事故，将依法追究责任。</w:t>
      </w:r>
    </w:p>
    <w:p w14:paraId="0926D7AF">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3.2.17</w:t>
      </w:r>
      <w:r>
        <w:rPr>
          <w:rFonts w:hint="eastAsia" w:ascii="仿宋" w:hAnsi="仿宋" w:eastAsia="仿宋" w:cs="仿宋"/>
          <w:bCs/>
          <w:color w:val="000000"/>
          <w:sz w:val="28"/>
          <w:szCs w:val="28"/>
          <w:highlight w:val="none"/>
          <w:lang w:eastAsia="zh-CN"/>
        </w:rPr>
        <w:t>在监测过程中，乙方若发现任何可疑情况应立即书面向甲方（甲方代表）汇报，执行甲方（甲方代表）指令。</w:t>
      </w:r>
    </w:p>
    <w:p w14:paraId="6BE81495">
      <w:pPr>
        <w:adjustRightInd w:val="0"/>
        <w:snapToGrid w:val="0"/>
        <w:spacing w:line="360" w:lineRule="auto"/>
        <w:ind w:firstLine="560" w:firstLineChars="200"/>
        <w:outlineLvl w:val="9"/>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3.2.18</w:t>
      </w:r>
      <w:r>
        <w:rPr>
          <w:rFonts w:hint="eastAsia" w:ascii="仿宋" w:hAnsi="仿宋" w:eastAsia="仿宋" w:cs="仿宋"/>
          <w:bCs/>
          <w:color w:val="000000"/>
          <w:sz w:val="28"/>
          <w:szCs w:val="28"/>
          <w:highlight w:val="none"/>
          <w:lang w:eastAsia="zh-CN"/>
        </w:rPr>
        <w:t>监测所需食宿交通由乙方自行解决。</w:t>
      </w:r>
    </w:p>
    <w:p w14:paraId="3688278D">
      <w:pPr>
        <w:adjustRightInd w:val="0"/>
        <w:snapToGrid w:val="0"/>
        <w:spacing w:line="360" w:lineRule="auto"/>
        <w:ind w:firstLine="560"/>
        <w:outlineLvl w:val="9"/>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3.2.19</w:t>
      </w:r>
      <w:r>
        <w:rPr>
          <w:rFonts w:hint="eastAsia" w:ascii="仿宋" w:hAnsi="仿宋" w:eastAsia="仿宋" w:cs="仿宋"/>
          <w:bCs/>
          <w:color w:val="000000"/>
          <w:sz w:val="28"/>
          <w:szCs w:val="28"/>
          <w:highlight w:val="none"/>
          <w:lang w:eastAsia="zh-CN"/>
        </w:rPr>
        <w:t>乙方应根据甲方的要求按时参加为实施本工程组织的各类有关技术协调会议及评审会议。</w:t>
      </w:r>
    </w:p>
    <w:p w14:paraId="2DE64637">
      <w:pPr>
        <w:adjustRightInd w:val="0"/>
        <w:snapToGrid w:val="0"/>
        <w:spacing w:line="360" w:lineRule="auto"/>
        <w:ind w:firstLine="560"/>
        <w:outlineLvl w:val="9"/>
        <w:rPr>
          <w:rFonts w:hint="default"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3.2.20</w:t>
      </w:r>
      <w:r>
        <w:rPr>
          <w:rFonts w:hint="eastAsia" w:ascii="仿宋" w:hAnsi="仿宋" w:eastAsia="仿宋" w:cs="仿宋"/>
          <w:bCs/>
          <w:color w:val="000000"/>
          <w:sz w:val="28"/>
          <w:szCs w:val="28"/>
          <w:highlight w:val="none"/>
          <w:lang w:eastAsia="zh-CN"/>
        </w:rPr>
        <w:t>乙方应提供并妥善保管监控预埋、预设的各种测试元件（如有），并保证这些测试元件的可靠性和耐久性。永久性预埋、预设的各种测试元件属于发包人财产，乙方完成监测后应将测试元件的埋置位置、规格型号、技术参数等一并移交给发包人。</w:t>
      </w:r>
    </w:p>
    <w:p w14:paraId="35B498E4">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4.验收</w:t>
      </w:r>
    </w:p>
    <w:p w14:paraId="71F132D7">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eastAsia="zh-CN" w:bidi="ar-SA"/>
        </w:rPr>
        <w:t>4.1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甲方负责对乙方提供的</w:t>
      </w:r>
      <w:r>
        <w:rPr>
          <w:rFonts w:hint="eastAsia" w:ascii="仿宋_GB2312" w:hAnsi="仿宋_GB2312" w:eastAsia="仿宋_GB2312" w:cs="仿宋_GB2312"/>
          <w:kern w:val="0"/>
          <w:sz w:val="28"/>
          <w:szCs w:val="28"/>
          <w:lang w:val="en-US" w:eastAsia="zh-CN"/>
        </w:rPr>
        <w:t>监测服务成果</w:t>
      </w:r>
      <w:r>
        <w:rPr>
          <w:rFonts w:hint="eastAsia" w:ascii="仿宋_GB2312" w:hAnsi="仿宋_GB2312" w:eastAsia="仿宋_GB2312" w:cs="仿宋_GB2312"/>
          <w:kern w:val="0"/>
          <w:sz w:val="28"/>
          <w:szCs w:val="28"/>
          <w:lang w:val="zh-CN"/>
        </w:rPr>
        <w:t>进行验收：</w:t>
      </w:r>
    </w:p>
    <w:p w14:paraId="3D89188C">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560" w:firstLineChars="200"/>
        <w:jc w:val="left"/>
        <w:outlineLvl w:val="9"/>
        <w:rPr>
          <w:rFonts w:hint="eastAsia" w:ascii="仿宋_GB2312" w:hAnsi="仿宋_GB2312" w:eastAsia="仿宋_GB2312" w:cs="仿宋_GB2312"/>
          <w:kern w:val="0"/>
          <w:sz w:val="28"/>
          <w:szCs w:val="28"/>
          <w:highlight w:val="none"/>
          <w:lang w:val="en-US"/>
        </w:rPr>
      </w:pPr>
      <w:r>
        <w:rPr>
          <w:rFonts w:hint="default" w:ascii="仿宋_GB2312" w:hAnsi="仿宋_GB2312" w:eastAsia="仿宋_GB2312" w:cs="仿宋_GB2312"/>
          <w:kern w:val="0"/>
          <w:sz w:val="28"/>
          <w:szCs w:val="28"/>
          <w:lang w:val="en-US" w:eastAsia="zh-CN" w:bidi="ar-SA"/>
        </w:rPr>
        <w:t>4.1.1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en-US"/>
        </w:rPr>
        <w:t>验收</w:t>
      </w:r>
      <w:r>
        <w:rPr>
          <w:rFonts w:hint="eastAsia" w:ascii="仿宋_GB2312" w:hAnsi="仿宋_GB2312" w:eastAsia="仿宋_GB2312" w:cs="仿宋_GB2312"/>
          <w:kern w:val="0"/>
          <w:sz w:val="28"/>
          <w:szCs w:val="28"/>
          <w:highlight w:val="none"/>
          <w:lang w:val="en-US" w:eastAsia="zh-CN"/>
        </w:rPr>
        <w:t>标准：符合附件</w:t>
      </w:r>
      <w:r>
        <w:rPr>
          <w:rFonts w:hint="eastAsia" w:ascii="仿宋" w:hAnsi="仿宋" w:eastAsia="仿宋" w:cs="仿宋"/>
          <w:b w:val="0"/>
          <w:bCs/>
          <w:color w:val="000000"/>
          <w:sz w:val="28"/>
          <w:szCs w:val="28"/>
          <w:highlight w:val="none"/>
        </w:rPr>
        <w:t>《项目内容说明书》中的服务要求。</w:t>
      </w:r>
    </w:p>
    <w:p w14:paraId="1AF29A2F">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560" w:firstLineChars="200"/>
        <w:jc w:val="left"/>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4.1.2</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en-US" w:eastAsia="zh-CN"/>
        </w:rPr>
        <w:t>验收方式：符合附件</w:t>
      </w:r>
      <w:r>
        <w:rPr>
          <w:rFonts w:hint="eastAsia" w:ascii="仿宋" w:hAnsi="仿宋" w:eastAsia="仿宋" w:cs="仿宋"/>
          <w:b w:val="0"/>
          <w:bCs/>
          <w:color w:val="000000"/>
          <w:sz w:val="28"/>
          <w:szCs w:val="28"/>
          <w:highlight w:val="none"/>
        </w:rPr>
        <w:t>《项目内容说明书》中的服务要求。</w:t>
      </w:r>
    </w:p>
    <w:p w14:paraId="2D465A6E">
      <w:pPr>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560" w:firstLineChars="200"/>
        <w:jc w:val="left"/>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4.1.3</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en-US" w:eastAsia="zh-CN"/>
        </w:rPr>
        <w:t>验收期限：符合附件</w:t>
      </w:r>
      <w:r>
        <w:rPr>
          <w:rFonts w:hint="eastAsia" w:ascii="仿宋" w:hAnsi="仿宋" w:eastAsia="仿宋" w:cs="仿宋"/>
          <w:b w:val="0"/>
          <w:bCs/>
          <w:color w:val="000000"/>
          <w:sz w:val="28"/>
          <w:szCs w:val="28"/>
          <w:highlight w:val="none"/>
        </w:rPr>
        <w:t>《项目内容说明书》中的服务要求。</w:t>
      </w:r>
    </w:p>
    <w:p w14:paraId="24620440">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eastAsia="zh-CN" w:bidi="ar-SA"/>
        </w:rPr>
        <w:t>4.2</w:t>
      </w:r>
      <w:r>
        <w:rPr>
          <w:rFonts w:hint="eastAsia" w:ascii="仿宋_GB2312" w:hAnsi="仿宋_GB2312" w:eastAsia="仿宋_GB2312" w:cs="仿宋_GB2312"/>
          <w:kern w:val="0"/>
          <w:sz w:val="28"/>
          <w:szCs w:val="28"/>
          <w:lang w:val="en-US" w:eastAsia="zh-CN" w:bidi="ar-SA"/>
        </w:rPr>
        <w:t xml:space="preserve"> 监测服务</w:t>
      </w:r>
      <w:r>
        <w:rPr>
          <w:rFonts w:hint="eastAsia" w:ascii="仿宋_GB2312" w:hAnsi="仿宋_GB2312" w:eastAsia="仿宋_GB2312" w:cs="仿宋_GB2312"/>
          <w:kern w:val="0"/>
          <w:sz w:val="28"/>
          <w:szCs w:val="28"/>
          <w:lang w:val="en-US" w:eastAsia="zh-CN"/>
        </w:rPr>
        <w:t>成果</w:t>
      </w:r>
      <w:r>
        <w:rPr>
          <w:rFonts w:hint="eastAsia" w:ascii="仿宋_GB2312" w:hAnsi="仿宋_GB2312" w:eastAsia="仿宋_GB2312" w:cs="仿宋_GB2312"/>
          <w:kern w:val="0"/>
          <w:sz w:val="28"/>
          <w:szCs w:val="28"/>
          <w:lang w:val="zh-CN"/>
        </w:rPr>
        <w:t>未能通过验收的，乙方应在收到甲方验收反馈意见后【】个工作日内按照甲方意见改进</w:t>
      </w:r>
      <w:r>
        <w:rPr>
          <w:rFonts w:hint="eastAsia" w:ascii="仿宋_GB2312" w:hAnsi="仿宋_GB2312" w:eastAsia="仿宋_GB2312" w:cs="仿宋_GB2312"/>
          <w:kern w:val="0"/>
          <w:sz w:val="28"/>
          <w:szCs w:val="28"/>
          <w:lang w:val="en-US" w:eastAsia="zh-CN"/>
        </w:rPr>
        <w:t>并</w:t>
      </w:r>
      <w:r>
        <w:rPr>
          <w:rFonts w:hint="eastAsia" w:ascii="仿宋_GB2312" w:hAnsi="仿宋_GB2312" w:eastAsia="仿宋_GB2312" w:cs="仿宋_GB2312"/>
          <w:kern w:val="0"/>
          <w:sz w:val="28"/>
          <w:szCs w:val="28"/>
          <w:lang w:val="zh-CN"/>
        </w:rPr>
        <w:t>及时通知甲方再次进行验收。但无论如何，乙方应在本协议约定的期限内完成</w:t>
      </w:r>
      <w:r>
        <w:rPr>
          <w:rFonts w:hint="eastAsia" w:ascii="仿宋_GB2312" w:hAnsi="仿宋_GB2312" w:eastAsia="仿宋_GB2312" w:cs="仿宋_GB2312"/>
          <w:kern w:val="0"/>
          <w:sz w:val="28"/>
          <w:szCs w:val="28"/>
          <w:lang w:val="en-US" w:eastAsia="zh-CN"/>
        </w:rPr>
        <w:t>监测</w:t>
      </w:r>
      <w:r>
        <w:rPr>
          <w:rFonts w:hint="eastAsia" w:ascii="仿宋_GB2312" w:hAnsi="仿宋_GB2312" w:eastAsia="仿宋_GB2312" w:cs="仿宋_GB2312"/>
          <w:kern w:val="0"/>
          <w:sz w:val="28"/>
          <w:szCs w:val="28"/>
          <w:lang w:val="zh-CN"/>
        </w:rPr>
        <w:t>服务。最终通过验收的，乙方应取得甲方出具的验收合格意见（</w:t>
      </w:r>
      <w:r>
        <w:rPr>
          <w:rFonts w:hint="eastAsia" w:ascii="仿宋_GB2312" w:hAnsi="仿宋_GB2312" w:eastAsia="仿宋_GB2312" w:cs="仿宋_GB2312"/>
          <w:snapToGrid w:val="0"/>
          <w:kern w:val="0"/>
          <w:sz w:val="28"/>
          <w:szCs w:val="28"/>
          <w:u w:val="double"/>
        </w:rPr>
        <w:t>注：该约定可根据实际情况选择适用</w:t>
      </w:r>
      <w:r>
        <w:rPr>
          <w:rFonts w:hint="eastAsia" w:ascii="仿宋_GB2312" w:hAnsi="仿宋_GB2312" w:eastAsia="仿宋_GB2312" w:cs="仿宋_GB2312"/>
          <w:snapToGrid w:val="0"/>
          <w:kern w:val="0"/>
          <w:sz w:val="28"/>
          <w:szCs w:val="28"/>
          <w:u w:val="double"/>
          <w:lang w:eastAsia="zh-CN"/>
        </w:rPr>
        <w:t>）</w:t>
      </w:r>
      <w:r>
        <w:rPr>
          <w:rFonts w:hint="eastAsia" w:ascii="仿宋_GB2312" w:hAnsi="仿宋_GB2312" w:eastAsia="仿宋_GB2312" w:cs="仿宋_GB2312"/>
          <w:kern w:val="0"/>
          <w:sz w:val="28"/>
          <w:szCs w:val="28"/>
          <w:lang w:val="zh-CN"/>
        </w:rPr>
        <w:t>。乙方未改进或改进后仍不符合本协议约定和甲方要求的，甲方将出具书面意见，明示乙方未完成</w:t>
      </w:r>
      <w:r>
        <w:rPr>
          <w:rFonts w:hint="eastAsia" w:ascii="仿宋_GB2312" w:hAnsi="仿宋_GB2312" w:eastAsia="仿宋_GB2312" w:cs="仿宋_GB2312"/>
          <w:kern w:val="0"/>
          <w:sz w:val="28"/>
          <w:szCs w:val="28"/>
          <w:lang w:val="en-US" w:eastAsia="zh-CN"/>
        </w:rPr>
        <w:t>监测</w:t>
      </w:r>
      <w:r>
        <w:rPr>
          <w:rFonts w:hint="eastAsia" w:ascii="仿宋_GB2312" w:hAnsi="仿宋_GB2312" w:eastAsia="仿宋_GB2312" w:cs="仿宋_GB2312"/>
          <w:kern w:val="0"/>
          <w:sz w:val="28"/>
          <w:szCs w:val="28"/>
          <w:lang w:val="zh-CN"/>
        </w:rPr>
        <w:t>服务，乙方应按本协议的有关约定承担违约责任。</w:t>
      </w:r>
    </w:p>
    <w:p w14:paraId="1C1865BA">
      <w:pPr>
        <w:pageBreakBefore w:val="0"/>
        <w:kinsoku/>
        <w:wordWrap/>
        <w:overflowPunct w:val="0"/>
        <w:topLinePunct w:val="0"/>
        <w:bidi w:val="0"/>
        <w:snapToGrid/>
        <w:spacing w:afterLines="0"/>
        <w:ind w:left="0" w:leftChars="0" w:firstLine="562" w:firstLineChars="200"/>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5. </w:t>
      </w:r>
      <w:r>
        <w:rPr>
          <w:rFonts w:hint="eastAsia" w:ascii="仿宋_GB2312" w:hAnsi="仿宋_GB2312" w:eastAsia="仿宋_GB2312" w:cs="仿宋_GB2312"/>
          <w:b/>
          <w:bCs/>
          <w:sz w:val="28"/>
          <w:szCs w:val="28"/>
        </w:rPr>
        <w:t>知识产权</w:t>
      </w:r>
    </w:p>
    <w:p w14:paraId="224606EB">
      <w:pPr>
        <w:pageBreakBefore w:val="0"/>
        <w:numPr>
          <w:ilvl w:val="1"/>
          <w:numId w:val="0"/>
        </w:numPr>
        <w:tabs>
          <w:tab w:val="left" w:pos="0"/>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eastAsia="zh-CN" w:bidi="ar-SA"/>
        </w:rPr>
        <w:t>5.1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根据本协议或在本协议履行过程中专门为甲方制作的或根据甲方提供的有关信息、资料而产生的服务成果，其知识产权和其他权益全部归甲方所有，甲方可以不受限制地进行使用。未经甲方事先书面许可，乙方不得为本协议之外的任何目的、以任何形式自行使用、擅自许可任何第三方使用或根据本协议项下的咨询服务向任何第三方提出有关意见和建议。</w:t>
      </w:r>
    </w:p>
    <w:p w14:paraId="46B89D75">
      <w:pPr>
        <w:pageBreakBefore w:val="0"/>
        <w:numPr>
          <w:ilvl w:val="1"/>
          <w:numId w:val="0"/>
        </w:numPr>
        <w:tabs>
          <w:tab w:val="left" w:pos="0"/>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eastAsia="zh-CN" w:bidi="ar-SA"/>
        </w:rPr>
        <w:t>5.2</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甲方根据本协议向乙方提供的</w:t>
      </w:r>
      <w:r>
        <w:rPr>
          <w:rFonts w:hint="eastAsia" w:ascii="仿宋_GB2312" w:hAnsi="仿宋_GB2312" w:eastAsia="仿宋_GB2312" w:cs="仿宋_GB2312"/>
          <w:snapToGrid w:val="0"/>
          <w:kern w:val="0"/>
          <w:sz w:val="28"/>
          <w:szCs w:val="28"/>
        </w:rPr>
        <w:t>技术性信息、商业性信息、文件、程序、计划、技术、图表、模型、参数、数据、标准、专有技术、业务或业务运作方法和其他专有信息等</w:t>
      </w:r>
      <w:r>
        <w:rPr>
          <w:rFonts w:hint="eastAsia" w:ascii="仿宋_GB2312" w:hAnsi="仿宋_GB2312" w:eastAsia="仿宋_GB2312" w:cs="仿宋_GB2312"/>
          <w:kern w:val="0"/>
          <w:sz w:val="28"/>
          <w:szCs w:val="28"/>
          <w:lang w:val="zh-CN"/>
        </w:rPr>
        <w:t>，其知识产权和其他权益全部归甲方所有，未经甲方事先书面许可，乙方不得为本协议之外的任何目的、以任何形式自行使用或擅自许可任何第三方使用。</w:t>
      </w:r>
    </w:p>
    <w:p w14:paraId="419E3F67">
      <w:pPr>
        <w:pageBreakBefore w:val="0"/>
        <w:numPr>
          <w:ilvl w:val="1"/>
          <w:numId w:val="0"/>
        </w:numPr>
        <w:tabs>
          <w:tab w:val="left" w:pos="0"/>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eastAsia="zh-CN" w:bidi="ar-SA"/>
        </w:rPr>
        <w:t>5.3</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保证其提交的服务成果不侵犯任何第三方的知识产权和/或其他合法权益。任何第三方以本协议项下的服务成果侵权为由向甲方主张权利的，一经收到该第三方的书面通知，乙方应立即采取措施为甲方提供保护，并按甲方要求提供全部必要的支持，并按本协议的有关约定承担违约责任以及甲方因此发生的其他费用。</w:t>
      </w:r>
    </w:p>
    <w:p w14:paraId="3AA27CD1">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snapToGrid w:val="0"/>
          <w:kern w:val="0"/>
          <w:sz w:val="28"/>
          <w:szCs w:val="28"/>
          <w:lang w:val="en-US" w:eastAsia="zh-CN" w:bidi="ar-SA"/>
        </w:rPr>
        <w:t xml:space="preserve">5.4 </w:t>
      </w:r>
      <w:r>
        <w:rPr>
          <w:rFonts w:hint="eastAsia" w:ascii="仿宋_GB2312" w:hAnsi="仿宋_GB2312" w:eastAsia="仿宋_GB2312" w:cs="仿宋_GB2312"/>
          <w:kern w:val="0"/>
          <w:sz w:val="28"/>
          <w:szCs w:val="28"/>
          <w:lang w:val="zh-CN"/>
        </w:rPr>
        <w:t>本协议因履行完毕、解除或不可抗力等终止的，终止之日起5个工作日内，乙方应将甲方提供的所有信息和资料连同其全部副本移交甲方，并且不得继续使用或擅自许可任何第三方使用。</w:t>
      </w:r>
    </w:p>
    <w:p w14:paraId="2198A174">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6. 保密条款</w:t>
      </w:r>
    </w:p>
    <w:p w14:paraId="34F0A37D">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6.1 乙方应对从甲方获得或因提供服务而获知的任何具有保密性质的信息采取保密措施。在获得甲方的书面同意前，乙方不得将该等信息透露给任何第三方（除非透露给本方相关的工作人员，并且该等人员为交易提供服务的职责要求其获知该信息）。</w:t>
      </w:r>
      <w:r>
        <w:rPr>
          <w:rFonts w:hint="eastAsia" w:ascii="仿宋" w:hAnsi="仿宋" w:eastAsia="仿宋" w:cs="仿宋"/>
          <w:b w:val="0"/>
          <w:bCs/>
          <w:sz w:val="28"/>
          <w:szCs w:val="28"/>
          <w:highlight w:val="none"/>
        </w:rPr>
        <w:t>否则应承担因此给甲方造成的损失，并支付违约金</w:t>
      </w:r>
      <w:r>
        <w:rPr>
          <w:rFonts w:hint="eastAsia" w:ascii="仿宋" w:hAnsi="仿宋" w:eastAsia="仿宋" w:cs="仿宋"/>
          <w:b w:val="0"/>
          <w:bCs/>
          <w:color w:val="000000"/>
          <w:sz w:val="28"/>
          <w:szCs w:val="28"/>
          <w:highlight w:val="none"/>
          <w:u w:val="single"/>
        </w:rPr>
        <w:t xml:space="preserve"> 合同总金额的1 % </w:t>
      </w:r>
      <w:r>
        <w:rPr>
          <w:rFonts w:hint="eastAsia" w:ascii="仿宋" w:hAnsi="仿宋" w:eastAsia="仿宋" w:cs="仿宋"/>
          <w:b w:val="0"/>
          <w:bCs/>
          <w:sz w:val="28"/>
          <w:szCs w:val="28"/>
          <w:highlight w:val="none"/>
        </w:rPr>
        <w:t>。</w:t>
      </w:r>
      <w:r>
        <w:rPr>
          <w:rFonts w:hint="eastAsia" w:ascii="仿宋_GB2312" w:hAnsi="仿宋_GB2312" w:eastAsia="仿宋_GB2312" w:cs="仿宋_GB2312"/>
          <w:kern w:val="0"/>
          <w:sz w:val="28"/>
          <w:szCs w:val="28"/>
          <w:lang w:val="zh-CN"/>
        </w:rPr>
        <w:t>本协议约定的保密义务应永久持续有效。</w:t>
      </w:r>
    </w:p>
    <w:p w14:paraId="541A344D">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eastAsia" w:ascii="仿宋_GB2312" w:hAnsi="仿宋_GB2312" w:eastAsia="仿宋_GB2312" w:cs="仿宋_GB2312"/>
          <w:kern w:val="0"/>
          <w:sz w:val="28"/>
          <w:szCs w:val="28"/>
          <w:lang w:val="zh-CN"/>
        </w:rPr>
        <w:t>6.2 本协议因履行完毕、解除或不可抗力等终止的，自终止之日起【5】个工作日内，乙方应将甲方提供的所有信息和资料连同其全部副本移交甲方，不能移交的应当自行销毁（但乙方根据相关法律法规要求需保留或存档留底的信息除外，前提是乙方继续对该等信息履行本协议的保密义务），并且不得继续使用或擅自许可任何第三方使用。</w:t>
      </w:r>
    </w:p>
    <w:p w14:paraId="6B56EB51">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highlight w:val="none"/>
          <w:lang w:val="en-US" w:eastAsia="zh-CN" w:bidi="ar-SA"/>
        </w:rPr>
      </w:pPr>
      <w:r>
        <w:rPr>
          <w:rFonts w:hint="eastAsia" w:ascii="仿宋_GB2312" w:hAnsi="仿宋_GB2312" w:eastAsia="仿宋_GB2312" w:cs="仿宋_GB2312"/>
          <w:b/>
          <w:bCs/>
          <w:kern w:val="0"/>
          <w:sz w:val="28"/>
          <w:szCs w:val="28"/>
          <w:lang w:val="en-US" w:eastAsia="zh-CN" w:bidi="ar-SA"/>
        </w:rPr>
        <w:t>7.</w:t>
      </w:r>
      <w:r>
        <w:rPr>
          <w:rFonts w:hint="eastAsia" w:ascii="仿宋_GB2312" w:hAnsi="仿宋_GB2312" w:eastAsia="仿宋_GB2312" w:cs="仿宋_GB2312"/>
          <w:b/>
          <w:bCs/>
          <w:kern w:val="0"/>
          <w:sz w:val="28"/>
          <w:szCs w:val="28"/>
          <w:highlight w:val="none"/>
          <w:lang w:val="en-US" w:eastAsia="zh-CN" w:bidi="ar-SA"/>
        </w:rPr>
        <w:t>协议解除</w:t>
      </w:r>
    </w:p>
    <w:p w14:paraId="5CD4EC1D">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甲乙双方经协商同意，可以变更或者解除本协议。</w:t>
      </w:r>
    </w:p>
    <w:p w14:paraId="585979B6">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b w:val="0"/>
          <w:bCs w:val="0"/>
          <w:kern w:val="0"/>
          <w:sz w:val="28"/>
          <w:szCs w:val="28"/>
          <w:lang w:val="zh-CN"/>
        </w:rPr>
      </w:pPr>
      <w:r>
        <w:rPr>
          <w:rFonts w:hint="default" w:ascii="仿宋_GB2312" w:hAnsi="仿宋_GB2312" w:eastAsia="仿宋_GB2312" w:cs="仿宋_GB2312"/>
          <w:b w:val="0"/>
          <w:bCs w:val="0"/>
          <w:kern w:val="0"/>
          <w:sz w:val="28"/>
          <w:szCs w:val="28"/>
          <w:lang w:val="zh-CN" w:eastAsia="zh-CN" w:bidi="ar-SA"/>
        </w:rPr>
        <w:t>7.2</w:t>
      </w:r>
      <w:r>
        <w:rPr>
          <w:rFonts w:hint="eastAsia" w:ascii="仿宋_GB2312" w:hAnsi="仿宋_GB2312" w:eastAsia="仿宋_GB2312" w:cs="仿宋_GB2312"/>
          <w:b w:val="0"/>
          <w:bCs w:val="0"/>
          <w:kern w:val="0"/>
          <w:sz w:val="28"/>
          <w:szCs w:val="28"/>
          <w:lang w:val="en-US" w:eastAsia="zh-CN" w:bidi="ar-SA"/>
        </w:rPr>
        <w:t xml:space="preserve"> </w:t>
      </w:r>
      <w:r>
        <w:rPr>
          <w:rFonts w:hint="eastAsia" w:ascii="仿宋_GB2312" w:hAnsi="仿宋_GB2312" w:eastAsia="仿宋_GB2312" w:cs="仿宋_GB2312"/>
          <w:b w:val="0"/>
          <w:bCs w:val="0"/>
          <w:kern w:val="0"/>
          <w:sz w:val="28"/>
          <w:szCs w:val="28"/>
          <w:lang w:val="zh-CN"/>
        </w:rPr>
        <w:t>根据项目进展情况，甲方有权</w:t>
      </w:r>
      <w:r>
        <w:rPr>
          <w:rFonts w:hint="eastAsia" w:ascii="仿宋_GB2312" w:hAnsi="仿宋_GB2312" w:eastAsia="仿宋_GB2312" w:cs="仿宋_GB2312"/>
          <w:b w:val="0"/>
          <w:bCs w:val="0"/>
          <w:spacing w:val="6"/>
          <w:sz w:val="28"/>
          <w:szCs w:val="28"/>
          <w:lang w:val="en-US" w:eastAsia="zh-CN"/>
        </w:rPr>
        <w:t>提前至少【15】天以书面形式通知乙方暂停全部或部分服务工作或终止本协议，一旦收到此类通知，乙方应立即安排停止计划并将开支减到最小，甲方将按已完成工作进行结算，并支付全部已完成的合格工作的费用</w:t>
      </w:r>
      <w:r>
        <w:rPr>
          <w:rFonts w:hint="eastAsia" w:ascii="仿宋_GB2312" w:hAnsi="仿宋_GB2312" w:eastAsia="仿宋_GB2312" w:cs="仿宋_GB2312"/>
          <w:b w:val="0"/>
          <w:bCs w:val="0"/>
          <w:kern w:val="0"/>
          <w:sz w:val="28"/>
          <w:szCs w:val="28"/>
          <w:lang w:val="zh-CN"/>
        </w:rPr>
        <w:t>。</w:t>
      </w:r>
    </w:p>
    <w:p w14:paraId="46CE85F1">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7.3</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乙方有下列情形之一的，甲方有权随时解除协议：</w:t>
      </w:r>
    </w:p>
    <w:p w14:paraId="59C189D0">
      <w:pPr>
        <w:keepNext w:val="0"/>
        <w:keepLines w:val="0"/>
        <w:pageBreakBefore w:val="0"/>
        <w:widowControl w:val="0"/>
        <w:numPr>
          <w:ilvl w:val="2"/>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7.3.1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出现本协议约定的违约且可解除协议情形的；</w:t>
      </w:r>
    </w:p>
    <w:p w14:paraId="59C13E19">
      <w:pPr>
        <w:keepNext w:val="0"/>
        <w:keepLines w:val="0"/>
        <w:pageBreakBefore w:val="0"/>
        <w:widowControl w:val="0"/>
        <w:numPr>
          <w:ilvl w:val="2"/>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7.3.2</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未经甲方同意或违反本协议约定，擅自更换团队成员的；</w:t>
      </w:r>
    </w:p>
    <w:p w14:paraId="36602C34">
      <w:pPr>
        <w:keepNext w:val="0"/>
        <w:keepLines w:val="0"/>
        <w:pageBreakBefore w:val="0"/>
        <w:widowControl w:val="0"/>
        <w:numPr>
          <w:ilvl w:val="2"/>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7.3.3</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因乙方服务团队提供的服务不符合甲方要求，经过</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val="en-US" w:eastAsia="zh-CN"/>
        </w:rPr>
        <w:t>2</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lang w:val="zh-CN"/>
        </w:rPr>
        <w:t>次更换</w:t>
      </w:r>
      <w:r>
        <w:rPr>
          <w:rFonts w:hint="eastAsia" w:ascii="仿宋_GB2312" w:hAnsi="仿宋_GB2312" w:eastAsia="仿宋_GB2312" w:cs="仿宋_GB2312"/>
          <w:kern w:val="0"/>
          <w:sz w:val="28"/>
          <w:szCs w:val="28"/>
          <w:lang w:val="en-US" w:eastAsia="zh-CN"/>
        </w:rPr>
        <w:t>仍</w:t>
      </w:r>
      <w:r>
        <w:rPr>
          <w:rFonts w:hint="eastAsia" w:ascii="仿宋_GB2312" w:hAnsi="仿宋_GB2312" w:eastAsia="仿宋_GB2312" w:cs="仿宋_GB2312"/>
          <w:kern w:val="0"/>
          <w:sz w:val="28"/>
          <w:szCs w:val="28"/>
          <w:lang w:val="zh-CN"/>
        </w:rPr>
        <w:t>不能满足的；</w:t>
      </w:r>
    </w:p>
    <w:p w14:paraId="5D35C2CA">
      <w:pPr>
        <w:keepNext w:val="0"/>
        <w:keepLines w:val="0"/>
        <w:pageBreakBefore w:val="0"/>
        <w:widowControl w:val="0"/>
        <w:numPr>
          <w:ilvl w:val="2"/>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7.3.4</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因乙方工作延误、失职、失误严重影响甲方工作或蒙受损失的；</w:t>
      </w:r>
    </w:p>
    <w:p w14:paraId="03F91525">
      <w:pPr>
        <w:keepNext w:val="0"/>
        <w:keepLines w:val="0"/>
        <w:pageBreakBefore w:val="0"/>
        <w:widowControl w:val="0"/>
        <w:numPr>
          <w:ilvl w:val="2"/>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7.3.5</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违反本协议约定的保密义务</w:t>
      </w:r>
      <w:r>
        <w:rPr>
          <w:rFonts w:hint="eastAsia" w:ascii="仿宋_GB2312" w:hAnsi="仿宋_GB2312" w:eastAsia="仿宋_GB2312" w:cs="仿宋_GB2312"/>
          <w:kern w:val="0"/>
          <w:sz w:val="28"/>
          <w:szCs w:val="28"/>
          <w:lang w:val="en-US" w:eastAsia="zh-CN"/>
        </w:rPr>
        <w:t>的；</w:t>
      </w:r>
    </w:p>
    <w:p w14:paraId="48D4D88F">
      <w:pPr>
        <w:keepNext w:val="0"/>
        <w:keepLines w:val="0"/>
        <w:pageBreakBefore w:val="0"/>
        <w:widowControl w:val="0"/>
        <w:numPr>
          <w:ilvl w:val="2"/>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7.3.6</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en-US" w:eastAsia="zh-CN"/>
        </w:rPr>
        <w:t>其他：【】</w:t>
      </w:r>
    </w:p>
    <w:p w14:paraId="71F112B3">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textAlignment w:val="auto"/>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7.4</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解除协议不影响各方在协议解除日之前在协议下已经产生的权利。</w:t>
      </w:r>
    </w:p>
    <w:p w14:paraId="42BAE135">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textAlignment w:val="auto"/>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7.5</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除甲方依据本协议第7.3条解除协议外，甲乙双方在协议解除的同时，应结合乙方为履行本协议的实际工作量，协商确定乙方在本协议项下应收取的服务费。甲方依据本协议第7.3条解除协议的，有权要求乙方退还部分或者全部已付的服务费。</w:t>
      </w:r>
    </w:p>
    <w:p w14:paraId="718D5141">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textAlignment w:val="auto"/>
        <w:outlineLvl w:val="9"/>
        <w:rPr>
          <w:rFonts w:hint="eastAsia" w:ascii="仿宋_GB2312" w:hAnsi="仿宋_GB2312" w:eastAsia="仿宋_GB2312" w:cs="仿宋_GB2312"/>
          <w:b/>
          <w:bCs/>
          <w:kern w:val="0"/>
          <w:sz w:val="28"/>
          <w:szCs w:val="28"/>
          <w:highlight w:val="none"/>
          <w:lang w:val="en-US" w:eastAsia="zh-CN" w:bidi="ar-SA"/>
        </w:rPr>
      </w:pPr>
      <w:r>
        <w:rPr>
          <w:rFonts w:hint="eastAsia" w:ascii="仿宋_GB2312" w:hAnsi="仿宋_GB2312" w:eastAsia="仿宋_GB2312" w:cs="仿宋_GB2312"/>
          <w:b/>
          <w:bCs/>
          <w:kern w:val="0"/>
          <w:sz w:val="28"/>
          <w:szCs w:val="28"/>
          <w:lang w:val="en-US" w:eastAsia="zh-CN" w:bidi="ar-SA"/>
        </w:rPr>
        <w:t>8.</w:t>
      </w:r>
      <w:r>
        <w:rPr>
          <w:rFonts w:hint="eastAsia" w:ascii="仿宋_GB2312" w:hAnsi="仿宋_GB2312" w:eastAsia="仿宋_GB2312" w:cs="仿宋_GB2312"/>
          <w:b/>
          <w:bCs/>
          <w:kern w:val="0"/>
          <w:sz w:val="28"/>
          <w:szCs w:val="28"/>
          <w:highlight w:val="none"/>
          <w:lang w:val="en-US" w:eastAsia="zh-CN" w:bidi="ar-SA"/>
        </w:rPr>
        <w:t>违约责任</w:t>
      </w:r>
    </w:p>
    <w:p w14:paraId="63577FC1">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textAlignment w:val="auto"/>
        <w:outlineLvl w:val="9"/>
        <w:rPr>
          <w:rFonts w:hint="eastAsia" w:ascii="仿宋_GB2312" w:hAnsi="仿宋_GB2312" w:eastAsia="仿宋_GB2312" w:cs="仿宋_GB2312"/>
          <w:kern w:val="0"/>
          <w:sz w:val="28"/>
          <w:szCs w:val="28"/>
          <w:highlight w:val="none"/>
          <w:lang w:val="zh-CN"/>
        </w:rPr>
      </w:pPr>
      <w:r>
        <w:rPr>
          <w:rFonts w:hint="default" w:ascii="仿宋_GB2312" w:hAnsi="仿宋_GB2312" w:eastAsia="仿宋_GB2312" w:cs="仿宋_GB2312"/>
          <w:kern w:val="0"/>
          <w:sz w:val="28"/>
          <w:szCs w:val="28"/>
          <w:lang w:val="zh-CN" w:eastAsia="zh-CN" w:bidi="ar-SA"/>
        </w:rPr>
        <w:t>8.1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zh-CN"/>
        </w:rPr>
        <w:t>任何一方不履行本协议约定的义务或履行义务不符合本协议约定的，视为违约，应立即停止违约行为，并按守约方要求承担继续履行、采取补救措施和/或赔偿损失等违约责任。</w:t>
      </w:r>
    </w:p>
    <w:p w14:paraId="58EC8EE8">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textAlignment w:val="auto"/>
        <w:outlineLvl w:val="9"/>
        <w:rPr>
          <w:rFonts w:hint="eastAsia" w:ascii="仿宋_GB2312" w:hAnsi="仿宋_GB2312" w:eastAsia="仿宋_GB2312" w:cs="仿宋_GB2312"/>
          <w:kern w:val="0"/>
          <w:sz w:val="28"/>
          <w:szCs w:val="28"/>
          <w:highlight w:val="none"/>
          <w:lang w:val="zh-CN"/>
        </w:rPr>
      </w:pPr>
      <w:r>
        <w:rPr>
          <w:rFonts w:hint="default" w:ascii="仿宋_GB2312" w:hAnsi="仿宋_GB2312" w:eastAsia="仿宋_GB2312" w:cs="仿宋_GB2312"/>
          <w:kern w:val="0"/>
          <w:sz w:val="28"/>
          <w:szCs w:val="28"/>
          <w:lang w:val="zh-CN" w:eastAsia="zh-CN" w:bidi="ar-SA"/>
        </w:rPr>
        <w:t>8.2</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zh-CN"/>
        </w:rPr>
        <w:t>任何一方在履行本协议过程中由于自身原因给对方和/或第三方造成损失的，应负责处理并承担赔偿责任。</w:t>
      </w:r>
    </w:p>
    <w:p w14:paraId="4AE5687B">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u w:val="none"/>
          <w:lang w:val="zh-CN"/>
        </w:rPr>
      </w:pPr>
      <w:r>
        <w:rPr>
          <w:rFonts w:hint="default" w:ascii="仿宋_GB2312" w:hAnsi="仿宋_GB2312" w:eastAsia="仿宋_GB2312" w:cs="仿宋_GB2312"/>
          <w:kern w:val="0"/>
          <w:sz w:val="28"/>
          <w:szCs w:val="28"/>
          <w:lang w:val="zh-CN" w:eastAsia="zh-CN" w:bidi="ar-SA"/>
        </w:rPr>
        <w:t>8.3</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color w:val="000000"/>
          <w:kern w:val="0"/>
          <w:sz w:val="28"/>
          <w:szCs w:val="28"/>
          <w:highlight w:val="none"/>
          <w:u w:val="none"/>
          <w:lang w:val="en-US" w:eastAsia="zh-CN"/>
        </w:rPr>
        <w:t>甲方</w:t>
      </w:r>
      <w:r>
        <w:rPr>
          <w:rFonts w:hint="eastAsia" w:ascii="仿宋_GB2312" w:hAnsi="仿宋_GB2312" w:eastAsia="仿宋_GB2312" w:cs="仿宋_GB2312"/>
          <w:color w:val="000000"/>
          <w:kern w:val="0"/>
          <w:sz w:val="28"/>
          <w:szCs w:val="28"/>
          <w:highlight w:val="none"/>
          <w:u w:val="none"/>
          <w:lang w:val="en-US"/>
        </w:rPr>
        <w:t>无正当理由未按本协议约定的期限付款的，即构成逾期付款，每逾期一日，按</w:t>
      </w:r>
      <w:r>
        <w:rPr>
          <w:rFonts w:hint="eastAsia" w:ascii="仿宋_GB2312" w:hAnsi="仿宋_GB2312" w:eastAsia="仿宋_GB2312" w:cs="仿宋_GB2312"/>
          <w:color w:val="000000"/>
          <w:kern w:val="0"/>
          <w:sz w:val="28"/>
          <w:szCs w:val="28"/>
          <w:highlight w:val="none"/>
          <w:u w:val="none"/>
          <w:lang w:val="en-US" w:eastAsia="zh-CN"/>
        </w:rPr>
        <w:t>甲方</w:t>
      </w:r>
      <w:r>
        <w:rPr>
          <w:rFonts w:hint="eastAsia" w:ascii="仿宋_GB2312" w:hAnsi="仿宋_GB2312" w:eastAsia="仿宋_GB2312" w:cs="仿宋_GB2312"/>
          <w:color w:val="000000"/>
          <w:kern w:val="0"/>
          <w:sz w:val="28"/>
          <w:szCs w:val="28"/>
          <w:highlight w:val="none"/>
          <w:u w:val="none"/>
          <w:lang w:val="en-US"/>
        </w:rPr>
        <w:t>应付未付款项以</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color w:val="000000"/>
          <w:kern w:val="0"/>
          <w:sz w:val="28"/>
          <w:szCs w:val="28"/>
          <w:highlight w:val="none"/>
          <w:u w:val="none"/>
          <w:lang w:val="en-US"/>
        </w:rPr>
        <w:t>逾期行为发生时中国人民银行授权全国银行间同业拆借中心公布的一年期贷款市场报价利率（LPR）除以360</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color w:val="000000"/>
          <w:kern w:val="0"/>
          <w:sz w:val="28"/>
          <w:szCs w:val="28"/>
          <w:highlight w:val="none"/>
          <w:u w:val="none"/>
          <w:lang w:val="en-US"/>
        </w:rPr>
        <w:t>计算逾期违约金，自逾期次日起计算至全部款项付清之日止。违约金累计上限为</w:t>
      </w:r>
      <w:r>
        <w:rPr>
          <w:rFonts w:hint="eastAsia" w:ascii="仿宋_GB2312" w:hAnsi="仿宋_GB2312" w:eastAsia="仿宋_GB2312" w:cs="仿宋_GB2312"/>
          <w:color w:val="000000"/>
          <w:kern w:val="0"/>
          <w:sz w:val="28"/>
          <w:szCs w:val="28"/>
          <w:highlight w:val="none"/>
          <w:u w:val="none"/>
          <w:lang w:val="en-US" w:eastAsia="zh-CN"/>
        </w:rPr>
        <w:t>甲</w:t>
      </w:r>
      <w:r>
        <w:rPr>
          <w:rFonts w:hint="eastAsia" w:ascii="仿宋_GB2312" w:hAnsi="仿宋_GB2312" w:eastAsia="仿宋_GB2312" w:cs="仿宋_GB2312"/>
          <w:color w:val="000000"/>
          <w:kern w:val="0"/>
          <w:sz w:val="28"/>
          <w:szCs w:val="28"/>
          <w:highlight w:val="none"/>
          <w:u w:val="none"/>
          <w:lang w:val="en-US"/>
        </w:rPr>
        <w:t>方应付未付款项的</w:t>
      </w:r>
      <w:r>
        <w:rPr>
          <w:rFonts w:hint="eastAsia" w:ascii="仿宋_GB2312" w:hAnsi="仿宋_GB2312" w:eastAsia="仿宋_GB2312" w:cs="仿宋_GB2312"/>
          <w:color w:val="000000"/>
          <w:kern w:val="0"/>
          <w:sz w:val="28"/>
          <w:szCs w:val="28"/>
          <w:highlight w:val="none"/>
          <w:u w:val="none"/>
          <w:lang w:val="en-US" w:eastAsia="zh-CN"/>
        </w:rPr>
        <w:t>【10%】。</w:t>
      </w:r>
    </w:p>
    <w:p w14:paraId="1CDB90DE">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8.4</w:t>
      </w:r>
      <w:r>
        <w:rPr>
          <w:rFonts w:hint="eastAsia" w:ascii="仿宋_GB2312" w:hAnsi="仿宋_GB2312" w:eastAsia="仿宋_GB2312" w:cs="仿宋_GB2312"/>
          <w:kern w:val="0"/>
          <w:sz w:val="28"/>
          <w:szCs w:val="28"/>
          <w:lang w:val="en-US" w:eastAsia="zh-CN" w:bidi="ar-SA"/>
        </w:rPr>
        <w:t xml:space="preserve"> </w:t>
      </w:r>
      <w:r>
        <w:rPr>
          <w:rFonts w:hint="eastAsia" w:ascii="仿宋" w:hAnsi="仿宋" w:eastAsia="仿宋" w:cs="仿宋"/>
          <w:b w:val="0"/>
          <w:bCs/>
          <w:color w:val="000000"/>
          <w:sz w:val="28"/>
          <w:szCs w:val="28"/>
          <w:highlight w:val="none"/>
        </w:rPr>
        <w:t>若乙方未在本合同规定的期限内完成技术服务工作并通过验收，每延迟一日，应向甲方支付合同总金额的</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1</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作为违约金</w:t>
      </w:r>
      <w:r>
        <w:rPr>
          <w:rFonts w:hint="eastAsia" w:ascii="仿宋_GB2312" w:hAnsi="仿宋_GB2312" w:eastAsia="仿宋_GB2312" w:cs="仿宋_GB2312"/>
          <w:kern w:val="0"/>
          <w:sz w:val="28"/>
          <w:szCs w:val="28"/>
          <w:lang w:val="zh-CN"/>
        </w:rPr>
        <w:t>。</w:t>
      </w:r>
    </w:p>
    <w:p w14:paraId="3FA94E32">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8.5</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乙方无正当理由逾期提交符合甲方要求的</w:t>
      </w:r>
      <w:r>
        <w:rPr>
          <w:rFonts w:hint="eastAsia" w:ascii="仿宋_GB2312" w:hAnsi="仿宋_GB2312" w:eastAsia="仿宋_GB2312" w:cs="仿宋_GB2312"/>
          <w:kern w:val="0"/>
          <w:sz w:val="28"/>
          <w:szCs w:val="28"/>
          <w:lang w:val="en-US" w:eastAsia="zh-CN"/>
        </w:rPr>
        <w:t>监测成果</w:t>
      </w:r>
      <w:r>
        <w:rPr>
          <w:rFonts w:hint="eastAsia" w:ascii="仿宋_GB2312" w:hAnsi="仿宋_GB2312" w:eastAsia="仿宋_GB2312" w:cs="仿宋_GB2312"/>
          <w:kern w:val="0"/>
          <w:sz w:val="28"/>
          <w:szCs w:val="28"/>
          <w:lang w:val="zh-CN"/>
        </w:rPr>
        <w:t>超过【</w:t>
      </w:r>
      <w:r>
        <w:rPr>
          <w:rFonts w:hint="eastAsia" w:ascii="仿宋_GB2312" w:hAnsi="仿宋_GB2312" w:eastAsia="仿宋_GB2312" w:cs="仿宋_GB2312"/>
          <w:kern w:val="0"/>
          <w:sz w:val="28"/>
          <w:szCs w:val="28"/>
          <w:lang w:val="en-US" w:eastAsia="zh-CN"/>
        </w:rPr>
        <w:t>10</w:t>
      </w:r>
      <w:r>
        <w:rPr>
          <w:rFonts w:hint="eastAsia" w:ascii="仿宋_GB2312" w:hAnsi="仿宋_GB2312" w:eastAsia="仿宋_GB2312" w:cs="仿宋_GB2312"/>
          <w:kern w:val="0"/>
          <w:sz w:val="28"/>
          <w:szCs w:val="28"/>
          <w:lang w:val="zh-CN"/>
        </w:rPr>
        <w:t>】日（含本数）的，甲方有权解除本协议。乙方应在甲方解除协议的书面通知送达之日起【</w:t>
      </w:r>
      <w:r>
        <w:rPr>
          <w:rFonts w:hint="eastAsia" w:ascii="仿宋_GB2312" w:hAnsi="仿宋_GB2312" w:eastAsia="仿宋_GB2312" w:cs="仿宋_GB2312"/>
          <w:kern w:val="0"/>
          <w:sz w:val="28"/>
          <w:szCs w:val="28"/>
          <w:lang w:val="en-US" w:eastAsia="zh-CN"/>
        </w:rPr>
        <w:t>5</w:t>
      </w:r>
      <w:r>
        <w:rPr>
          <w:rFonts w:hint="eastAsia" w:ascii="仿宋_GB2312" w:hAnsi="仿宋_GB2312" w:eastAsia="仿宋_GB2312" w:cs="仿宋_GB2312"/>
          <w:kern w:val="0"/>
          <w:sz w:val="28"/>
          <w:szCs w:val="28"/>
          <w:lang w:val="zh-CN"/>
        </w:rPr>
        <w:t>】日内全额退还</w:t>
      </w:r>
      <w:r>
        <w:rPr>
          <w:rFonts w:hint="eastAsia" w:ascii="仿宋_GB2312" w:hAnsi="仿宋_GB2312" w:eastAsia="仿宋_GB2312" w:cs="仿宋_GB2312"/>
          <w:kern w:val="0"/>
          <w:sz w:val="28"/>
          <w:szCs w:val="28"/>
          <w:highlight w:val="none"/>
          <w:lang w:val="zh-CN"/>
        </w:rPr>
        <w:t>甲方已支付的协议款项，并</w:t>
      </w:r>
      <w:r>
        <w:rPr>
          <w:rFonts w:hint="eastAsia" w:ascii="仿宋_GB2312" w:hAnsi="仿宋_GB2312" w:eastAsia="仿宋_GB2312" w:cs="仿宋_GB2312"/>
          <w:kern w:val="0"/>
          <w:sz w:val="28"/>
          <w:szCs w:val="28"/>
          <w:highlight w:val="none"/>
          <w:lang w:val="en-US" w:eastAsia="zh-CN"/>
        </w:rPr>
        <w:t>另外</w:t>
      </w:r>
      <w:r>
        <w:rPr>
          <w:rFonts w:hint="eastAsia" w:ascii="仿宋_GB2312" w:hAnsi="仿宋_GB2312" w:eastAsia="仿宋_GB2312" w:cs="仿宋_GB2312"/>
          <w:kern w:val="0"/>
          <w:sz w:val="28"/>
          <w:szCs w:val="28"/>
          <w:highlight w:val="none"/>
          <w:lang w:val="zh-CN"/>
        </w:rPr>
        <w:t>向甲方支付协议总额的【</w:t>
      </w:r>
      <w:r>
        <w:rPr>
          <w:rFonts w:hint="eastAsia" w:ascii="仿宋_GB2312" w:hAnsi="仿宋_GB2312" w:eastAsia="仿宋_GB2312" w:cs="仿宋_GB2312"/>
          <w:kern w:val="0"/>
          <w:sz w:val="28"/>
          <w:szCs w:val="28"/>
          <w:highlight w:val="none"/>
          <w:lang w:val="en-US" w:eastAsia="zh-CN"/>
        </w:rPr>
        <w:t>20%</w:t>
      </w:r>
      <w:r>
        <w:rPr>
          <w:rFonts w:hint="eastAsia" w:ascii="仿宋_GB2312" w:hAnsi="仿宋_GB2312" w:eastAsia="仿宋_GB2312" w:cs="仿宋_GB2312"/>
          <w:kern w:val="0"/>
          <w:sz w:val="28"/>
          <w:szCs w:val="28"/>
          <w:highlight w:val="none"/>
          <w:lang w:val="zh-CN"/>
        </w:rPr>
        <w:t>】作为违约金，</w:t>
      </w:r>
      <w:r>
        <w:rPr>
          <w:rFonts w:hint="eastAsia" w:ascii="仿宋_GB2312" w:hAnsi="仿宋_GB2312" w:eastAsia="仿宋_GB2312" w:cs="仿宋_GB2312"/>
          <w:kern w:val="0"/>
          <w:sz w:val="28"/>
          <w:szCs w:val="28"/>
          <w:highlight w:val="none"/>
          <w:lang w:val="en-US" w:eastAsia="zh-CN"/>
        </w:rPr>
        <w:t>违约金不足以弥补甲方损失的，乙方还应赔偿甲方全部损失</w:t>
      </w:r>
      <w:r>
        <w:rPr>
          <w:rFonts w:hint="eastAsia" w:ascii="仿宋_GB2312" w:hAnsi="仿宋_GB2312" w:eastAsia="仿宋_GB2312" w:cs="仿宋_GB2312"/>
          <w:kern w:val="0"/>
          <w:sz w:val="28"/>
          <w:szCs w:val="28"/>
          <w:highlight w:val="none"/>
          <w:lang w:val="zh-CN"/>
        </w:rPr>
        <w:t>。如甲</w:t>
      </w:r>
      <w:r>
        <w:rPr>
          <w:rFonts w:hint="eastAsia" w:ascii="仿宋_GB2312" w:hAnsi="仿宋_GB2312" w:eastAsia="仿宋_GB2312" w:cs="仿宋_GB2312"/>
          <w:kern w:val="0"/>
          <w:sz w:val="28"/>
          <w:szCs w:val="28"/>
          <w:lang w:val="zh-CN"/>
        </w:rPr>
        <w:t>方要求乙方继续履行协议的，乙方应在甲方要求的时间内完成所有工作，同时应根据本款约定向甲方支付违约金。</w:t>
      </w:r>
    </w:p>
    <w:p w14:paraId="4F19BEB0">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8.6</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乙方提供的</w:t>
      </w:r>
      <w:r>
        <w:rPr>
          <w:rFonts w:hint="eastAsia" w:ascii="仿宋_GB2312" w:hAnsi="仿宋_GB2312" w:eastAsia="仿宋_GB2312" w:cs="仿宋_GB2312"/>
          <w:kern w:val="0"/>
          <w:sz w:val="28"/>
          <w:szCs w:val="28"/>
          <w:lang w:val="en-US" w:eastAsia="zh-CN"/>
        </w:rPr>
        <w:t>监测成果</w:t>
      </w:r>
      <w:r>
        <w:rPr>
          <w:rFonts w:hint="eastAsia" w:ascii="仿宋_GB2312" w:hAnsi="仿宋_GB2312" w:eastAsia="仿宋_GB2312" w:cs="仿宋_GB2312"/>
          <w:kern w:val="0"/>
          <w:sz w:val="28"/>
          <w:szCs w:val="28"/>
          <w:lang w:val="zh-CN"/>
        </w:rPr>
        <w:t>未能通过甲方验收的，甲方有权要求乙方改进，或者减少相应价款后接受乙方服务。经</w:t>
      </w:r>
      <w:r>
        <w:rPr>
          <w:rFonts w:hint="eastAsia" w:ascii="仿宋_GB2312" w:hAnsi="仿宋_GB2312" w:eastAsia="仿宋_GB2312" w:cs="仿宋_GB2312"/>
          <w:kern w:val="0"/>
          <w:sz w:val="28"/>
          <w:szCs w:val="28"/>
        </w:rPr>
        <w:t>【2】</w:t>
      </w:r>
      <w:r>
        <w:rPr>
          <w:rFonts w:hint="eastAsia" w:ascii="仿宋_GB2312" w:hAnsi="仿宋_GB2312" w:eastAsia="仿宋_GB2312" w:cs="仿宋_GB2312"/>
          <w:kern w:val="0"/>
          <w:sz w:val="28"/>
          <w:szCs w:val="28"/>
          <w:lang w:val="zh-CN"/>
        </w:rPr>
        <w:t>次改进仍无法通过甲方</w:t>
      </w:r>
      <w:r>
        <w:rPr>
          <w:rFonts w:hint="eastAsia" w:ascii="仿宋_GB2312" w:hAnsi="仿宋_GB2312" w:eastAsia="仿宋_GB2312" w:cs="仿宋_GB2312"/>
          <w:kern w:val="0"/>
          <w:sz w:val="28"/>
          <w:szCs w:val="28"/>
          <w:highlight w:val="none"/>
          <w:lang w:val="zh-CN"/>
        </w:rPr>
        <w:t>验收的，甲方有权解除本协议。乙方应在甲方解除协议的书面通知送达之日起【</w:t>
      </w:r>
      <w:r>
        <w:rPr>
          <w:rFonts w:hint="eastAsia" w:ascii="仿宋_GB2312" w:hAnsi="仿宋_GB2312" w:eastAsia="仿宋_GB2312" w:cs="仿宋_GB2312"/>
          <w:kern w:val="0"/>
          <w:sz w:val="28"/>
          <w:szCs w:val="28"/>
          <w:highlight w:val="none"/>
          <w:lang w:val="en-US" w:eastAsia="zh-CN"/>
        </w:rPr>
        <w:t>5</w:t>
      </w:r>
      <w:r>
        <w:rPr>
          <w:rFonts w:hint="eastAsia" w:ascii="仿宋_GB2312" w:hAnsi="仿宋_GB2312" w:eastAsia="仿宋_GB2312" w:cs="仿宋_GB2312"/>
          <w:kern w:val="0"/>
          <w:sz w:val="28"/>
          <w:szCs w:val="28"/>
          <w:highlight w:val="none"/>
          <w:lang w:val="zh-CN"/>
        </w:rPr>
        <w:t>】日内全额退还甲方已支付的协议款项，并向甲方支付协议总额的</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val="en-US" w:eastAsia="zh-CN"/>
        </w:rPr>
        <w:t>20%</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val="zh-CN"/>
        </w:rPr>
        <w:t>作为违约金，</w:t>
      </w:r>
      <w:r>
        <w:rPr>
          <w:rFonts w:hint="eastAsia" w:ascii="仿宋_GB2312" w:hAnsi="仿宋_GB2312" w:eastAsia="仿宋_GB2312" w:cs="仿宋_GB2312"/>
          <w:kern w:val="0"/>
          <w:sz w:val="28"/>
          <w:szCs w:val="28"/>
          <w:highlight w:val="none"/>
          <w:lang w:val="en-US" w:eastAsia="zh-CN"/>
        </w:rPr>
        <w:t>违约金不足以弥补甲方损失的，乙方还应赔偿甲方全部损失</w:t>
      </w:r>
      <w:r>
        <w:rPr>
          <w:rFonts w:hint="eastAsia" w:ascii="仿宋_GB2312" w:hAnsi="仿宋_GB2312" w:eastAsia="仿宋_GB2312" w:cs="仿宋_GB2312"/>
          <w:kern w:val="0"/>
          <w:sz w:val="28"/>
          <w:szCs w:val="28"/>
          <w:highlight w:val="none"/>
          <w:lang w:val="zh-CN"/>
        </w:rPr>
        <w:t>。</w:t>
      </w:r>
    </w:p>
    <w:p w14:paraId="0DDD2B50">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8.7</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乙方违反本协议知识产权条款的，应向甲方支付协议总额的【</w:t>
      </w:r>
      <w:r>
        <w:rPr>
          <w:rFonts w:hint="eastAsia" w:ascii="仿宋_GB2312" w:hAnsi="仿宋_GB2312" w:eastAsia="仿宋_GB2312" w:cs="仿宋_GB2312"/>
          <w:kern w:val="0"/>
          <w:sz w:val="28"/>
          <w:szCs w:val="28"/>
          <w:lang w:val="en-US" w:eastAsia="zh-CN"/>
        </w:rPr>
        <w:t>20%</w:t>
      </w:r>
      <w:r>
        <w:rPr>
          <w:rFonts w:hint="eastAsia" w:ascii="仿宋_GB2312" w:hAnsi="仿宋_GB2312" w:eastAsia="仿宋_GB2312" w:cs="仿宋_GB2312"/>
          <w:kern w:val="0"/>
          <w:sz w:val="28"/>
          <w:szCs w:val="28"/>
          <w:lang w:val="zh-CN"/>
        </w:rPr>
        <w:t>】作为违约金。乙方服务侵犯第三方的知识产权和/或其他合法权益的，除应按照上述约定向甲方支付违约金外，还应赔偿因此给甲方造成的</w:t>
      </w:r>
      <w:r>
        <w:rPr>
          <w:rFonts w:hint="eastAsia" w:ascii="仿宋_GB2312" w:hAnsi="仿宋_GB2312" w:eastAsia="仿宋_GB2312" w:cs="仿宋_GB2312"/>
          <w:kern w:val="0"/>
          <w:sz w:val="28"/>
          <w:szCs w:val="28"/>
          <w:lang w:val="en-US" w:eastAsia="zh-CN"/>
        </w:rPr>
        <w:t>全部</w:t>
      </w:r>
      <w:r>
        <w:rPr>
          <w:rFonts w:hint="eastAsia" w:ascii="仿宋_GB2312" w:hAnsi="仿宋_GB2312" w:eastAsia="仿宋_GB2312" w:cs="仿宋_GB2312"/>
          <w:kern w:val="0"/>
          <w:sz w:val="28"/>
          <w:szCs w:val="28"/>
          <w:lang w:val="zh-CN"/>
        </w:rPr>
        <w:t>损失。</w:t>
      </w:r>
    </w:p>
    <w:p w14:paraId="4F40BDA3">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8.8</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乙方违反本协议约定的保密义务的，应向甲方支付协议总额的【</w:t>
      </w:r>
      <w:r>
        <w:rPr>
          <w:rFonts w:hint="eastAsia" w:ascii="仿宋_GB2312" w:hAnsi="仿宋_GB2312" w:eastAsia="仿宋_GB2312" w:cs="仿宋_GB2312"/>
          <w:kern w:val="0"/>
          <w:sz w:val="28"/>
          <w:szCs w:val="28"/>
          <w:lang w:val="en-US" w:eastAsia="zh-CN"/>
        </w:rPr>
        <w:t>20%</w:t>
      </w:r>
      <w:r>
        <w:rPr>
          <w:rFonts w:hint="eastAsia" w:ascii="仿宋_GB2312" w:hAnsi="仿宋_GB2312" w:eastAsia="仿宋_GB2312" w:cs="仿宋_GB2312"/>
          <w:kern w:val="0"/>
          <w:sz w:val="28"/>
          <w:szCs w:val="28"/>
          <w:lang w:val="zh-CN"/>
        </w:rPr>
        <w:t>】作为违约金，并赔偿甲方因此遭受的全部损失。</w:t>
      </w:r>
    </w:p>
    <w:p w14:paraId="4546D817">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8.9</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乙方未按照国家发票管理相关规定开具规范合规的增值税发票，或增值税发票开具过程中存在其他违法违规行为，或者乙方开具的增值税发票因票据问题不能依法抵扣等，导致甲方产生损失的，乙方应在重新向甲方提供合法合规增值税发票的同时，就甲方的一切相关损失承担赔偿责任，并由乙方自行承担税费损失。</w:t>
      </w:r>
    </w:p>
    <w:p w14:paraId="6DF755B4">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kern w:val="0"/>
          <w:sz w:val="28"/>
          <w:szCs w:val="28"/>
          <w:lang w:val="zh-CN" w:eastAsia="zh-CN" w:bidi="ar-SA"/>
        </w:rPr>
        <w:t>8.10</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lang w:val="zh-CN"/>
        </w:rPr>
        <w:t>本协议所称“损失”包括但不限于实际损失、协议履行后可以获得的利益和诉讼费、仲裁费、合理的调查费、律师费等有关法律费用及其他合理支出费用。</w:t>
      </w:r>
    </w:p>
    <w:p w14:paraId="11231AB4">
      <w:pPr>
        <w:keepNext w:val="0"/>
        <w:keepLines w:val="0"/>
        <w:pageBreakBefore w:val="0"/>
        <w:widowControl w:val="0"/>
        <w:numPr>
          <w:ilvl w:val="1"/>
          <w:numId w:val="0"/>
        </w:numPr>
        <w:tabs>
          <w:tab w:val="left" w:pos="900"/>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highlight w:val="none"/>
          <w:lang w:val="zh-CN"/>
        </w:rPr>
      </w:pPr>
      <w:r>
        <w:rPr>
          <w:rFonts w:hint="default" w:ascii="仿宋_GB2312" w:hAnsi="仿宋_GB2312" w:eastAsia="仿宋_GB2312" w:cs="仿宋_GB2312"/>
          <w:kern w:val="0"/>
          <w:sz w:val="28"/>
          <w:szCs w:val="28"/>
          <w:lang w:val="zh-CN" w:eastAsia="zh-CN" w:bidi="ar-SA"/>
        </w:rPr>
        <w:t>8.11</w:t>
      </w:r>
      <w:r>
        <w:rPr>
          <w:rFonts w:hint="eastAsia" w:ascii="仿宋_GB2312" w:hAnsi="仿宋_GB2312" w:eastAsia="仿宋_GB2312" w:cs="仿宋_GB2312"/>
          <w:kern w:val="0"/>
          <w:sz w:val="28"/>
          <w:szCs w:val="28"/>
          <w:lang w:val="en-US" w:eastAsia="zh-CN" w:bidi="ar-SA"/>
        </w:rPr>
        <w:t xml:space="preserve"> </w:t>
      </w:r>
      <w:r>
        <w:rPr>
          <w:rFonts w:hint="eastAsia" w:ascii="仿宋_GB2312" w:hAnsi="仿宋_GB2312" w:eastAsia="仿宋_GB2312" w:cs="仿宋_GB2312"/>
          <w:kern w:val="0"/>
          <w:sz w:val="28"/>
          <w:szCs w:val="28"/>
          <w:highlight w:val="none"/>
          <w:lang w:val="en-US" w:eastAsia="zh-CN"/>
        </w:rPr>
        <w:t>其他：</w:t>
      </w:r>
      <w:r>
        <w:rPr>
          <w:rFonts w:hint="eastAsia" w:ascii="仿宋_GB2312" w:hAnsi="仿宋_GB2312" w:eastAsia="仿宋_GB2312" w:cs="仿宋_GB2312"/>
          <w:kern w:val="0"/>
          <w:sz w:val="28"/>
          <w:szCs w:val="28"/>
          <w:highlight w:val="none"/>
        </w:rPr>
        <w:t>【】</w:t>
      </w:r>
    </w:p>
    <w:p w14:paraId="1A1A8AF3">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9.不可抗力</w:t>
      </w:r>
    </w:p>
    <w:p w14:paraId="51B2E366">
      <w:pPr>
        <w:keepNext w:val="0"/>
        <w:keepLines w:val="0"/>
        <w:pageBreakBefore w:val="0"/>
        <w:widowControl w:val="0"/>
        <w:numPr>
          <w:ilvl w:val="1"/>
          <w:numId w:val="0"/>
        </w:numPr>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snapToGrid w:val="0"/>
          <w:kern w:val="0"/>
          <w:sz w:val="28"/>
          <w:szCs w:val="28"/>
        </w:rPr>
      </w:pPr>
      <w:r>
        <w:rPr>
          <w:rFonts w:hint="default" w:ascii="仿宋_GB2312" w:hAnsi="仿宋_GB2312" w:eastAsia="仿宋_GB2312" w:cs="仿宋_GB2312"/>
          <w:snapToGrid w:val="0"/>
          <w:kern w:val="0"/>
          <w:sz w:val="28"/>
          <w:szCs w:val="28"/>
          <w:lang w:val="en-US" w:eastAsia="zh-CN" w:bidi="ar-SA"/>
        </w:rPr>
        <w:t>9.1</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rPr>
        <w:t>本协议所称“不可抗力”，是指协议签订时不能预见、不能避免且不能克服的并将对本协议一方或双方对本协议的履行产生实质性影响的事件和情况，其包括但不限于：（1）火灾、洪水、风暴、地震、雪灾等自然灾害、严重天气情况或天灾等情况；（2）战争、爆炸、恐怖主义行为或其他任何敌对行为；（3）世界及/或地区性卫生健康威胁（如瘟疫、流行病、传染病等）；（4）政府行为，即国家权力机构（包括但不限于立法、司法和行政机构）作出的法律法规变更、决定、禁令、征用等；（5）化学或放射性污染或核辐射；（6）罢工、骚乱等重大的社会异常事件等。</w:t>
      </w:r>
    </w:p>
    <w:p w14:paraId="7822D980">
      <w:pPr>
        <w:keepNext w:val="0"/>
        <w:keepLines w:val="0"/>
        <w:pageBreakBefore w:val="0"/>
        <w:widowControl w:val="0"/>
        <w:numPr>
          <w:ilvl w:val="1"/>
          <w:numId w:val="0"/>
        </w:numPr>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snapToGrid w:val="0"/>
          <w:kern w:val="0"/>
          <w:sz w:val="28"/>
          <w:szCs w:val="28"/>
        </w:rPr>
      </w:pPr>
      <w:r>
        <w:rPr>
          <w:rFonts w:hint="default" w:ascii="仿宋_GB2312" w:hAnsi="仿宋_GB2312" w:eastAsia="仿宋_GB2312" w:cs="仿宋_GB2312"/>
          <w:snapToGrid w:val="0"/>
          <w:kern w:val="0"/>
          <w:sz w:val="28"/>
          <w:szCs w:val="28"/>
          <w:lang w:val="en-US" w:eastAsia="zh-CN" w:bidi="ar-SA"/>
        </w:rPr>
        <w:t>9.2</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rPr>
        <w:t>如果发生不可抗力事件，受不可抗力事件影响的一方（“受影响方”）应尽快通知对方，并在不可抗力事件发生后的</w:t>
      </w:r>
      <w:r>
        <w:rPr>
          <w:rFonts w:hint="eastAsia" w:ascii="仿宋_GB2312" w:hAnsi="仿宋_GB2312" w:eastAsia="仿宋_GB2312" w:cs="仿宋_GB2312"/>
          <w:snapToGrid w:val="0"/>
          <w:kern w:val="0"/>
          <w:sz w:val="28"/>
          <w:szCs w:val="28"/>
          <w:lang w:eastAsia="zh-CN"/>
        </w:rPr>
        <w:t>【</w:t>
      </w:r>
      <w:r>
        <w:rPr>
          <w:rFonts w:hint="eastAsia" w:ascii="仿宋_GB2312" w:hAnsi="仿宋_GB2312" w:eastAsia="仿宋_GB2312" w:cs="仿宋_GB2312"/>
          <w:snapToGrid w:val="0"/>
          <w:kern w:val="0"/>
          <w:sz w:val="28"/>
          <w:szCs w:val="28"/>
          <w:lang w:val="en-US" w:eastAsia="zh-CN"/>
        </w:rPr>
        <w:t>15</w:t>
      </w:r>
      <w:r>
        <w:rPr>
          <w:rFonts w:hint="eastAsia" w:ascii="仿宋_GB2312" w:hAnsi="仿宋_GB2312" w:eastAsia="仿宋_GB2312" w:cs="仿宋_GB2312"/>
          <w:snapToGrid w:val="0"/>
          <w:kern w:val="0"/>
          <w:sz w:val="28"/>
          <w:szCs w:val="28"/>
          <w:lang w:eastAsia="zh-CN"/>
        </w:rPr>
        <w:t>】</w:t>
      </w:r>
      <w:r>
        <w:rPr>
          <w:rFonts w:hint="eastAsia" w:ascii="仿宋_GB2312" w:hAnsi="仿宋_GB2312" w:eastAsia="仿宋_GB2312" w:cs="仿宋_GB2312"/>
          <w:snapToGrid w:val="0"/>
          <w:kern w:val="0"/>
          <w:sz w:val="28"/>
          <w:szCs w:val="28"/>
        </w:rPr>
        <w:t>日内向对方提供该事件的详细书面说明，并提供有关该不可抗力的权威证明文件等必要的证明。</w:t>
      </w:r>
    </w:p>
    <w:p w14:paraId="0C187DCB">
      <w:pPr>
        <w:keepNext w:val="0"/>
        <w:keepLines w:val="0"/>
        <w:pageBreakBefore w:val="0"/>
        <w:widowControl w:val="0"/>
        <w:numPr>
          <w:ilvl w:val="1"/>
          <w:numId w:val="0"/>
        </w:numPr>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snapToGrid w:val="0"/>
          <w:kern w:val="0"/>
          <w:sz w:val="28"/>
          <w:szCs w:val="28"/>
        </w:rPr>
      </w:pPr>
      <w:r>
        <w:rPr>
          <w:rFonts w:hint="default" w:ascii="仿宋_GB2312" w:hAnsi="仿宋_GB2312" w:eastAsia="仿宋_GB2312" w:cs="仿宋_GB2312"/>
          <w:snapToGrid w:val="0"/>
          <w:kern w:val="0"/>
          <w:sz w:val="28"/>
          <w:szCs w:val="28"/>
          <w:lang w:val="en-US" w:eastAsia="zh-CN" w:bidi="ar-SA"/>
        </w:rPr>
        <w:t>9.3</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rPr>
        <w:t>如果不可抗力事件直接导致受影响方无法按约定履行其在本协议项下的义务，则受影响方的该等义务可以暂缓履行直至该不可抗力事件消除，在上述暂缓期内受影响方无须为此承担违约责任。</w:t>
      </w:r>
    </w:p>
    <w:p w14:paraId="2BEDE97D">
      <w:pPr>
        <w:keepNext w:val="0"/>
        <w:keepLines w:val="0"/>
        <w:pageBreakBefore w:val="0"/>
        <w:widowControl w:val="0"/>
        <w:numPr>
          <w:ilvl w:val="1"/>
          <w:numId w:val="0"/>
        </w:numPr>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snapToGrid w:val="0"/>
          <w:kern w:val="0"/>
          <w:sz w:val="28"/>
          <w:szCs w:val="28"/>
        </w:rPr>
      </w:pPr>
      <w:r>
        <w:rPr>
          <w:rFonts w:hint="default" w:ascii="仿宋_GB2312" w:hAnsi="仿宋_GB2312" w:eastAsia="仿宋_GB2312" w:cs="仿宋_GB2312"/>
          <w:snapToGrid w:val="0"/>
          <w:kern w:val="0"/>
          <w:sz w:val="28"/>
          <w:szCs w:val="28"/>
          <w:lang w:val="en-US" w:eastAsia="zh-CN" w:bidi="ar-SA"/>
        </w:rPr>
        <w:t>9.4</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rPr>
        <w:t>不可抗力事件发生后，受影响方应当及时采取补救措施使另一方因此所受的影响降到最低。如果因受影响方未能或怠于以书面形式通知另一方或未能或怠于采取补救措施而致使另一方所受损失扩大，受影响方应就扩大的损失赔偿另一方。</w:t>
      </w:r>
    </w:p>
    <w:p w14:paraId="41CD11FF">
      <w:pPr>
        <w:keepNext w:val="0"/>
        <w:keepLines w:val="0"/>
        <w:pageBreakBefore w:val="0"/>
        <w:widowControl w:val="0"/>
        <w:numPr>
          <w:ilvl w:val="1"/>
          <w:numId w:val="0"/>
        </w:numPr>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snapToGrid w:val="0"/>
          <w:kern w:val="0"/>
          <w:sz w:val="28"/>
          <w:szCs w:val="28"/>
          <w:highlight w:val="none"/>
        </w:rPr>
      </w:pPr>
      <w:r>
        <w:rPr>
          <w:rFonts w:hint="default" w:ascii="仿宋_GB2312" w:hAnsi="仿宋_GB2312" w:eastAsia="仿宋_GB2312" w:cs="仿宋_GB2312"/>
          <w:snapToGrid w:val="0"/>
          <w:kern w:val="0"/>
          <w:sz w:val="28"/>
          <w:szCs w:val="28"/>
          <w:lang w:val="en-US" w:eastAsia="zh-CN" w:bidi="ar-SA"/>
        </w:rPr>
        <w:t>9.5</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rPr>
        <w:t>当不可抗力事件阻止一方履行其义务的时间持续</w:t>
      </w:r>
      <w:r>
        <w:rPr>
          <w:rFonts w:hint="eastAsia" w:ascii="仿宋_GB2312" w:hAnsi="仿宋_GB2312" w:eastAsia="仿宋_GB2312" w:cs="仿宋_GB2312"/>
          <w:snapToGrid w:val="0"/>
          <w:kern w:val="0"/>
          <w:sz w:val="28"/>
          <w:szCs w:val="28"/>
          <w:lang w:eastAsia="zh-CN"/>
        </w:rPr>
        <w:t>【</w:t>
      </w:r>
      <w:r>
        <w:rPr>
          <w:rFonts w:hint="eastAsia" w:ascii="仿宋_GB2312" w:hAnsi="仿宋_GB2312" w:eastAsia="仿宋_GB2312" w:cs="仿宋_GB2312"/>
          <w:snapToGrid w:val="0"/>
          <w:kern w:val="0"/>
          <w:sz w:val="28"/>
          <w:szCs w:val="28"/>
          <w:lang w:val="en-US" w:eastAsia="zh-CN"/>
        </w:rPr>
        <w:t>30</w:t>
      </w:r>
      <w:r>
        <w:rPr>
          <w:rFonts w:hint="eastAsia" w:ascii="仿宋_GB2312" w:hAnsi="仿宋_GB2312" w:eastAsia="仿宋_GB2312" w:cs="仿宋_GB2312"/>
          <w:snapToGrid w:val="0"/>
          <w:kern w:val="0"/>
          <w:sz w:val="28"/>
          <w:szCs w:val="28"/>
          <w:lang w:eastAsia="zh-CN"/>
        </w:rPr>
        <w:t>】</w:t>
      </w:r>
      <w:r>
        <w:rPr>
          <w:rFonts w:hint="eastAsia" w:ascii="仿宋_GB2312" w:hAnsi="仿宋_GB2312" w:eastAsia="仿宋_GB2312" w:cs="仿宋_GB2312"/>
          <w:snapToGrid w:val="0"/>
          <w:kern w:val="0"/>
          <w:sz w:val="28"/>
          <w:szCs w:val="28"/>
        </w:rPr>
        <w:t>日以上时，双方应协商决定继续履行本协议的条件或终止本协议。若双方同意</w:t>
      </w:r>
      <w:r>
        <w:rPr>
          <w:rFonts w:hint="eastAsia" w:ascii="仿宋_GB2312" w:hAnsi="仿宋_GB2312" w:eastAsia="仿宋_GB2312" w:cs="仿宋_GB2312"/>
          <w:snapToGrid w:val="0"/>
          <w:kern w:val="0"/>
          <w:sz w:val="28"/>
          <w:szCs w:val="28"/>
          <w:highlight w:val="none"/>
        </w:rPr>
        <w:t>待不可抗力事件结束后继续履行本协议的</w:t>
      </w:r>
      <w:r>
        <w:rPr>
          <w:rFonts w:hint="eastAsia" w:ascii="仿宋_GB2312" w:hAnsi="仿宋_GB2312" w:eastAsia="仿宋_GB2312" w:cs="仿宋_GB2312"/>
          <w:snapToGrid w:val="0"/>
          <w:kern w:val="0"/>
          <w:sz w:val="28"/>
          <w:szCs w:val="28"/>
          <w:highlight w:val="none"/>
          <w:lang w:eastAsia="zh-CN"/>
        </w:rPr>
        <w:t>，在</w:t>
      </w:r>
      <w:r>
        <w:rPr>
          <w:rFonts w:hint="eastAsia" w:ascii="仿宋_GB2312" w:hAnsi="仿宋_GB2312" w:eastAsia="仿宋_GB2312" w:cs="仿宋_GB2312"/>
          <w:snapToGrid w:val="0"/>
          <w:kern w:val="0"/>
          <w:sz w:val="28"/>
          <w:szCs w:val="28"/>
          <w:highlight w:val="none"/>
        </w:rPr>
        <w:t>不可抗力终止后，受影响方应继续履行本协议并尽快通知另一方。本协议的履行期限可相应延长，延长的时间应相当于不可抗力实际造成延误的时间。如果自不可抗力发生后</w:t>
      </w:r>
      <w:r>
        <w:rPr>
          <w:rFonts w:hint="eastAsia" w:ascii="仿宋_GB2312" w:hAnsi="仿宋_GB2312" w:eastAsia="仿宋_GB2312" w:cs="仿宋_GB2312"/>
          <w:snapToGrid w:val="0"/>
          <w:kern w:val="0"/>
          <w:sz w:val="28"/>
          <w:szCs w:val="28"/>
          <w:highlight w:val="none"/>
          <w:lang w:eastAsia="zh-CN"/>
        </w:rPr>
        <w:t>【</w:t>
      </w:r>
      <w:r>
        <w:rPr>
          <w:rFonts w:hint="eastAsia" w:ascii="仿宋_GB2312" w:hAnsi="仿宋_GB2312" w:eastAsia="仿宋_GB2312" w:cs="仿宋_GB2312"/>
          <w:snapToGrid w:val="0"/>
          <w:kern w:val="0"/>
          <w:sz w:val="28"/>
          <w:szCs w:val="28"/>
          <w:highlight w:val="none"/>
          <w:lang w:val="en-US" w:eastAsia="zh-CN"/>
        </w:rPr>
        <w:t>60</w:t>
      </w:r>
      <w:r>
        <w:rPr>
          <w:rFonts w:hint="eastAsia" w:ascii="仿宋_GB2312" w:hAnsi="仿宋_GB2312" w:eastAsia="仿宋_GB2312" w:cs="仿宋_GB2312"/>
          <w:snapToGrid w:val="0"/>
          <w:kern w:val="0"/>
          <w:sz w:val="28"/>
          <w:szCs w:val="28"/>
          <w:highlight w:val="none"/>
          <w:lang w:eastAsia="zh-CN"/>
        </w:rPr>
        <w:t>】</w:t>
      </w:r>
      <w:r>
        <w:rPr>
          <w:rFonts w:hint="eastAsia" w:ascii="仿宋_GB2312" w:hAnsi="仿宋_GB2312" w:eastAsia="仿宋_GB2312" w:cs="仿宋_GB2312"/>
          <w:snapToGrid w:val="0"/>
          <w:kern w:val="0"/>
          <w:sz w:val="28"/>
          <w:szCs w:val="28"/>
          <w:highlight w:val="none"/>
        </w:rPr>
        <w:t>日之内双方不能就继续履行的条件或终止本协议达成一致意见，任何一方有权给予另一方书面通知后立即终止本协议。</w:t>
      </w:r>
    </w:p>
    <w:p w14:paraId="080E726E">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kern w:val="0"/>
          <w:sz w:val="28"/>
          <w:szCs w:val="28"/>
          <w:lang w:val="zh-CN"/>
        </w:rPr>
      </w:pPr>
      <w:r>
        <w:rPr>
          <w:rFonts w:hint="default" w:ascii="仿宋_GB2312" w:hAnsi="仿宋_GB2312" w:eastAsia="仿宋_GB2312" w:cs="仿宋_GB2312"/>
          <w:snapToGrid w:val="0"/>
          <w:kern w:val="0"/>
          <w:sz w:val="28"/>
          <w:szCs w:val="28"/>
          <w:lang w:val="en-US" w:eastAsia="zh-CN" w:bidi="ar-SA"/>
        </w:rPr>
        <w:t>9.6</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highlight w:val="none"/>
        </w:rPr>
        <w:t>在发生不可抗力事件期间，除因不可抗力事件导致不能履行的方面外，双方应在其他各个方面继续履行本协议。</w:t>
      </w:r>
    </w:p>
    <w:p w14:paraId="2131624A">
      <w:pPr>
        <w:overflowPunct w:val="0"/>
        <w:snapToGrid/>
        <w:spacing w:afterLines="0"/>
        <w:ind w:left="0" w:firstLine="562" w:firstLineChars="200"/>
        <w:outlineLvl w:val="9"/>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 xml:space="preserve">10. </w:t>
      </w:r>
      <w:r>
        <w:rPr>
          <w:rFonts w:hint="eastAsia" w:ascii="仿宋_GB2312" w:hAnsi="仿宋_GB2312" w:eastAsia="仿宋_GB2312" w:cs="仿宋_GB2312"/>
          <w:b/>
          <w:bCs/>
          <w:sz w:val="28"/>
          <w:szCs w:val="28"/>
          <w:highlight w:val="none"/>
        </w:rPr>
        <w:t>适用法律和争议解决</w:t>
      </w:r>
    </w:p>
    <w:p w14:paraId="2C3EA315">
      <w:pPr>
        <w:pageBreakBefore w:val="0"/>
        <w:numPr>
          <w:ilvl w:val="1"/>
          <w:numId w:val="0"/>
        </w:numPr>
        <w:tabs>
          <w:tab w:val="left" w:pos="992"/>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snapToGrid w:val="0"/>
          <w:kern w:val="0"/>
          <w:sz w:val="28"/>
          <w:szCs w:val="28"/>
          <w:highlight w:val="none"/>
        </w:rPr>
      </w:pPr>
      <w:r>
        <w:rPr>
          <w:rFonts w:hint="default" w:ascii="仿宋_GB2312" w:hAnsi="仿宋_GB2312" w:eastAsia="仿宋_GB2312" w:cs="仿宋_GB2312"/>
          <w:snapToGrid w:val="0"/>
          <w:kern w:val="0"/>
          <w:sz w:val="28"/>
          <w:szCs w:val="28"/>
          <w:lang w:val="en-US" w:eastAsia="zh-CN" w:bidi="ar-SA"/>
        </w:rPr>
        <w:t>10.1</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highlight w:val="none"/>
        </w:rPr>
        <w:t>本协议的成立、签订、效力、解释、履行、变更、终止和争议解决均适用中华人民共和国法律。</w:t>
      </w:r>
    </w:p>
    <w:p w14:paraId="1A198AAB">
      <w:pPr>
        <w:pageBreakBefore w:val="0"/>
        <w:numPr>
          <w:ilvl w:val="1"/>
          <w:numId w:val="0"/>
        </w:numPr>
        <w:tabs>
          <w:tab w:val="left" w:pos="992"/>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snapToGrid w:val="0"/>
          <w:kern w:val="0"/>
          <w:sz w:val="28"/>
          <w:szCs w:val="28"/>
          <w:highlight w:val="none"/>
          <w:u w:val="double"/>
        </w:rPr>
      </w:pPr>
      <w:r>
        <w:rPr>
          <w:rFonts w:hint="default" w:ascii="仿宋_GB2312" w:hAnsi="仿宋_GB2312" w:eastAsia="仿宋_GB2312" w:cs="仿宋_GB2312"/>
          <w:snapToGrid w:val="0"/>
          <w:kern w:val="0"/>
          <w:sz w:val="28"/>
          <w:szCs w:val="28"/>
          <w:lang w:val="en-US" w:eastAsia="zh-CN" w:bidi="ar-SA"/>
        </w:rPr>
        <w:t>10.2</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highlight w:val="none"/>
        </w:rPr>
        <w:t>因本协议履行过程中引起的或与本协议相关的任何争议，双方应争取以友好协商的方式及时解决</w:t>
      </w:r>
      <w:r>
        <w:rPr>
          <w:rFonts w:hint="eastAsia" w:ascii="仿宋_GB2312" w:hAnsi="仿宋_GB2312" w:eastAsia="仿宋_GB2312" w:cs="仿宋_GB2312"/>
          <w:snapToGrid w:val="0"/>
          <w:kern w:val="0"/>
          <w:sz w:val="28"/>
          <w:szCs w:val="28"/>
          <w:highlight w:val="none"/>
          <w:lang w:eastAsia="zh-CN"/>
        </w:rPr>
        <w:t>。</w:t>
      </w:r>
      <w:r>
        <w:rPr>
          <w:rFonts w:hint="eastAsia" w:ascii="仿宋_GB2312" w:hAnsi="仿宋_GB2312" w:eastAsia="仿宋_GB2312" w:cs="仿宋_GB2312"/>
          <w:snapToGrid w:val="0"/>
          <w:kern w:val="0"/>
          <w:sz w:val="28"/>
          <w:szCs w:val="28"/>
          <w:highlight w:val="none"/>
        </w:rPr>
        <w:t>若经协商仍未能解决，双方确定按照下列</w:t>
      </w:r>
      <w:r>
        <w:rPr>
          <w:rFonts w:hint="eastAsia" w:ascii="仿宋_GB2312" w:hAnsi="仿宋_GB2312" w:eastAsia="仿宋_GB2312" w:cs="仿宋_GB2312"/>
          <w:snapToGrid w:val="0"/>
          <w:kern w:val="0"/>
          <w:sz w:val="28"/>
          <w:szCs w:val="28"/>
          <w:highlight w:val="none"/>
          <w:lang w:val="en-US" w:eastAsia="zh-CN"/>
        </w:rPr>
        <w:t>第</w:t>
      </w:r>
      <w:r>
        <w:rPr>
          <w:rFonts w:hint="eastAsia" w:ascii="仿宋_GB2312" w:hAnsi="仿宋_GB2312" w:eastAsia="仿宋_GB2312" w:cs="仿宋_GB2312"/>
          <w:snapToGrid w:val="0"/>
          <w:kern w:val="0"/>
          <w:sz w:val="28"/>
          <w:szCs w:val="28"/>
          <w:highlight w:val="none"/>
        </w:rPr>
        <w:t>【</w:t>
      </w:r>
      <w:r>
        <w:rPr>
          <w:rFonts w:hint="eastAsia" w:ascii="仿宋_GB2312" w:hAnsi="仿宋_GB2312" w:eastAsia="仿宋_GB2312" w:cs="仿宋_GB2312"/>
          <w:snapToGrid w:val="0"/>
          <w:kern w:val="0"/>
          <w:sz w:val="28"/>
          <w:szCs w:val="28"/>
          <w:highlight w:val="none"/>
          <w:lang w:val="en-US" w:eastAsia="zh-CN"/>
        </w:rPr>
        <w:t>2</w:t>
      </w:r>
      <w:r>
        <w:rPr>
          <w:rFonts w:hint="eastAsia" w:ascii="仿宋_GB2312" w:hAnsi="仿宋_GB2312" w:eastAsia="仿宋_GB2312" w:cs="仿宋_GB2312"/>
          <w:snapToGrid w:val="0"/>
          <w:kern w:val="0"/>
          <w:sz w:val="28"/>
          <w:szCs w:val="28"/>
          <w:highlight w:val="none"/>
        </w:rPr>
        <w:t>】</w:t>
      </w:r>
      <w:r>
        <w:rPr>
          <w:rFonts w:hint="eastAsia" w:ascii="仿宋_GB2312" w:hAnsi="仿宋_GB2312" w:eastAsia="仿宋_GB2312" w:cs="仿宋_GB2312"/>
          <w:snapToGrid w:val="0"/>
          <w:kern w:val="0"/>
          <w:sz w:val="28"/>
          <w:szCs w:val="28"/>
          <w:highlight w:val="none"/>
          <w:lang w:val="en-US" w:eastAsia="zh-CN"/>
        </w:rPr>
        <w:t>种</w:t>
      </w:r>
      <w:r>
        <w:rPr>
          <w:rFonts w:hint="eastAsia" w:ascii="仿宋_GB2312" w:hAnsi="仿宋_GB2312" w:eastAsia="仿宋_GB2312" w:cs="仿宋_GB2312"/>
          <w:snapToGrid w:val="0"/>
          <w:kern w:val="0"/>
          <w:sz w:val="28"/>
          <w:szCs w:val="28"/>
          <w:highlight w:val="none"/>
        </w:rPr>
        <w:t>方式解决</w:t>
      </w:r>
      <w:r>
        <w:rPr>
          <w:rFonts w:hint="eastAsia" w:ascii="仿宋_GB2312" w:hAnsi="仿宋_GB2312" w:eastAsia="仿宋_GB2312" w:cs="仿宋_GB2312"/>
          <w:snapToGrid w:val="0"/>
          <w:kern w:val="0"/>
          <w:sz w:val="28"/>
          <w:szCs w:val="28"/>
          <w:highlight w:val="none"/>
          <w:lang w:val="en-US" w:eastAsia="zh-CN"/>
        </w:rPr>
        <w:t>：</w:t>
      </w:r>
    </w:p>
    <w:p w14:paraId="03DE3698">
      <w:pPr>
        <w:pageBreakBefore w:val="0"/>
        <w:numPr>
          <w:ilvl w:val="0"/>
          <w:numId w:val="0"/>
        </w:numPr>
        <w:tabs>
          <w:tab w:val="left" w:pos="992"/>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snapToGrid w:val="0"/>
          <w:kern w:val="0"/>
          <w:sz w:val="28"/>
          <w:szCs w:val="28"/>
          <w:highlight w:val="none"/>
        </w:rPr>
      </w:pPr>
      <w:r>
        <w:rPr>
          <w:rFonts w:hint="eastAsia" w:ascii="仿宋_GB2312" w:hAnsi="仿宋_GB2312" w:eastAsia="仿宋_GB2312" w:cs="仿宋_GB2312"/>
          <w:snapToGrid w:val="0"/>
          <w:kern w:val="0"/>
          <w:sz w:val="28"/>
          <w:szCs w:val="28"/>
          <w:highlight w:val="none"/>
          <w:lang w:eastAsia="zh-CN"/>
        </w:rPr>
        <w:t>（</w:t>
      </w:r>
      <w:r>
        <w:rPr>
          <w:rFonts w:hint="eastAsia" w:ascii="仿宋_GB2312" w:hAnsi="仿宋_GB2312" w:eastAsia="仿宋_GB2312" w:cs="仿宋_GB2312"/>
          <w:snapToGrid w:val="0"/>
          <w:kern w:val="0"/>
          <w:sz w:val="28"/>
          <w:szCs w:val="28"/>
          <w:highlight w:val="none"/>
          <w:lang w:val="en-US" w:eastAsia="zh-CN"/>
        </w:rPr>
        <w:t>1</w:t>
      </w:r>
      <w:r>
        <w:rPr>
          <w:rFonts w:hint="eastAsia" w:ascii="仿宋_GB2312" w:hAnsi="仿宋_GB2312" w:eastAsia="仿宋_GB2312" w:cs="仿宋_GB2312"/>
          <w:snapToGrid w:val="0"/>
          <w:kern w:val="0"/>
          <w:sz w:val="28"/>
          <w:szCs w:val="28"/>
          <w:highlight w:val="none"/>
          <w:lang w:eastAsia="zh-CN"/>
        </w:rPr>
        <w:t>）</w:t>
      </w:r>
      <w:r>
        <w:rPr>
          <w:rFonts w:hint="eastAsia" w:ascii="仿宋_GB2312" w:hAnsi="仿宋_GB2312" w:eastAsia="仿宋_GB2312" w:cs="仿宋_GB2312"/>
          <w:snapToGrid w:val="0"/>
          <w:kern w:val="0"/>
          <w:sz w:val="28"/>
          <w:szCs w:val="28"/>
          <w:highlight w:val="none"/>
        </w:rPr>
        <w:t>任何</w:t>
      </w:r>
      <w:r>
        <w:rPr>
          <w:rFonts w:hint="eastAsia" w:ascii="仿宋_GB2312" w:hAnsi="仿宋_GB2312" w:eastAsia="仿宋_GB2312" w:cs="仿宋_GB2312"/>
          <w:b w:val="0"/>
          <w:bCs w:val="0"/>
          <w:snapToGrid w:val="0"/>
          <w:kern w:val="0"/>
          <w:sz w:val="28"/>
          <w:szCs w:val="28"/>
          <w:highlight w:val="none"/>
        </w:rPr>
        <w:t>一方均应将有关争议提交【</w:t>
      </w:r>
      <w:r>
        <w:rPr>
          <w:rFonts w:hint="eastAsia" w:ascii="仿宋_GB2312" w:hAnsi="仿宋_GB2312" w:eastAsia="仿宋_GB2312" w:cs="仿宋_GB2312"/>
          <w:kern w:val="0"/>
          <w:sz w:val="28"/>
          <w:szCs w:val="28"/>
          <w:highlight w:val="none"/>
          <w:u w:val="double"/>
          <w:lang w:val="en-US" w:eastAsia="zh-CN"/>
        </w:rPr>
        <w:t>武汉仲裁委员会</w:t>
      </w:r>
      <w:r>
        <w:rPr>
          <w:rFonts w:hint="eastAsia" w:ascii="仿宋_GB2312" w:hAnsi="仿宋_GB2312" w:eastAsia="仿宋_GB2312" w:cs="仿宋_GB2312"/>
          <w:b w:val="0"/>
          <w:bCs w:val="0"/>
          <w:snapToGrid w:val="0"/>
          <w:kern w:val="0"/>
          <w:sz w:val="28"/>
          <w:szCs w:val="28"/>
          <w:highlight w:val="none"/>
        </w:rPr>
        <w:t>】</w:t>
      </w:r>
      <w:r>
        <w:rPr>
          <w:rFonts w:hint="eastAsia" w:ascii="仿宋_GB2312" w:hAnsi="仿宋_GB2312" w:eastAsia="仿宋_GB2312" w:cs="仿宋_GB2312"/>
          <w:b w:val="0"/>
          <w:bCs w:val="0"/>
          <w:snapToGrid w:val="0"/>
          <w:kern w:val="0"/>
          <w:sz w:val="28"/>
          <w:szCs w:val="28"/>
          <w:highlight w:val="none"/>
          <w:lang w:val="en-US" w:eastAsia="zh-CN"/>
        </w:rPr>
        <w:t>,</w:t>
      </w:r>
      <w:r>
        <w:rPr>
          <w:rFonts w:hint="eastAsia" w:ascii="仿宋_GB2312" w:hAnsi="仿宋_GB2312" w:eastAsia="仿宋_GB2312" w:cs="仿宋_GB2312"/>
          <w:b w:val="0"/>
          <w:bCs w:val="0"/>
          <w:snapToGrid w:val="0"/>
          <w:kern w:val="0"/>
          <w:sz w:val="28"/>
          <w:szCs w:val="28"/>
          <w:highlight w:val="none"/>
        </w:rPr>
        <w:t>按申请仲裁时该会现行有效的仲裁规则进行</w:t>
      </w:r>
      <w:r>
        <w:rPr>
          <w:rFonts w:hint="eastAsia" w:ascii="仿宋_GB2312" w:hAnsi="仿宋_GB2312" w:eastAsia="仿宋_GB2312" w:cs="仿宋_GB2312"/>
          <w:snapToGrid w:val="0"/>
          <w:kern w:val="0"/>
          <w:sz w:val="28"/>
          <w:szCs w:val="28"/>
          <w:highlight w:val="none"/>
        </w:rPr>
        <w:t>仲裁。仲裁裁决是终局的，对各方均有约束力。</w:t>
      </w:r>
    </w:p>
    <w:p w14:paraId="2514D74C">
      <w:pPr>
        <w:pageBreakBefore w:val="0"/>
        <w:numPr>
          <w:ilvl w:val="0"/>
          <w:numId w:val="0"/>
        </w:numPr>
        <w:tabs>
          <w:tab w:val="left" w:pos="992"/>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kern w:val="0"/>
          <w:sz w:val="28"/>
          <w:szCs w:val="28"/>
          <w:highlight w:val="none"/>
          <w:u w:val="double"/>
        </w:rPr>
      </w:pPr>
      <w:r>
        <w:rPr>
          <w:rFonts w:hint="eastAsia" w:ascii="仿宋_GB2312" w:hAnsi="仿宋_GB2312" w:eastAsia="仿宋_GB2312" w:cs="仿宋_GB2312"/>
          <w:snapToGrid w:val="0"/>
          <w:kern w:val="0"/>
          <w:sz w:val="28"/>
          <w:szCs w:val="28"/>
          <w:highlight w:val="none"/>
          <w:lang w:eastAsia="zh-CN"/>
        </w:rPr>
        <w:t>（</w:t>
      </w:r>
      <w:r>
        <w:rPr>
          <w:rFonts w:hint="eastAsia" w:ascii="仿宋_GB2312" w:hAnsi="仿宋_GB2312" w:eastAsia="仿宋_GB2312" w:cs="仿宋_GB2312"/>
          <w:snapToGrid w:val="0"/>
          <w:kern w:val="0"/>
          <w:sz w:val="28"/>
          <w:szCs w:val="28"/>
          <w:highlight w:val="none"/>
          <w:lang w:val="en-US" w:eastAsia="zh-CN"/>
        </w:rPr>
        <w:t>2</w:t>
      </w:r>
      <w:r>
        <w:rPr>
          <w:rFonts w:hint="eastAsia" w:ascii="仿宋_GB2312" w:hAnsi="仿宋_GB2312" w:eastAsia="仿宋_GB2312" w:cs="仿宋_GB2312"/>
          <w:snapToGrid w:val="0"/>
          <w:kern w:val="0"/>
          <w:sz w:val="28"/>
          <w:szCs w:val="28"/>
          <w:highlight w:val="none"/>
          <w:lang w:eastAsia="zh-CN"/>
        </w:rPr>
        <w:t>）</w:t>
      </w:r>
      <w:r>
        <w:rPr>
          <w:rFonts w:hint="eastAsia" w:ascii="仿宋_GB2312" w:hAnsi="仿宋_GB2312" w:eastAsia="仿宋_GB2312" w:cs="仿宋_GB2312"/>
          <w:b w:val="0"/>
          <w:bCs w:val="0"/>
          <w:snapToGrid w:val="0"/>
          <w:kern w:val="0"/>
          <w:sz w:val="28"/>
          <w:szCs w:val="28"/>
          <w:highlight w:val="none"/>
        </w:rPr>
        <w:t>任何一方均应向【</w:t>
      </w:r>
      <w:r>
        <w:rPr>
          <w:rFonts w:hint="eastAsia" w:ascii="仿宋_GB2312" w:hAnsi="仿宋_GB2312" w:eastAsia="仿宋_GB2312" w:cs="仿宋_GB2312"/>
          <w:b w:val="0"/>
          <w:bCs w:val="0"/>
          <w:snapToGrid w:val="0"/>
          <w:kern w:val="0"/>
          <w:sz w:val="28"/>
          <w:szCs w:val="28"/>
          <w:highlight w:val="none"/>
          <w:lang w:val="en-US" w:eastAsia="zh-CN"/>
        </w:rPr>
        <w:t>甲方</w:t>
      </w:r>
      <w:r>
        <w:rPr>
          <w:rFonts w:hint="eastAsia" w:ascii="仿宋_GB2312" w:hAnsi="仿宋_GB2312" w:eastAsia="仿宋_GB2312" w:cs="仿宋_GB2312"/>
          <w:b w:val="0"/>
          <w:bCs w:val="0"/>
          <w:snapToGrid w:val="0"/>
          <w:kern w:val="0"/>
          <w:sz w:val="28"/>
          <w:szCs w:val="28"/>
          <w:highlight w:val="none"/>
        </w:rPr>
        <w:t>】所在地有管辖权的人民法院提起诉讼。</w:t>
      </w:r>
    </w:p>
    <w:p w14:paraId="60A6E7D9">
      <w:pPr>
        <w:pageBreakBefore w:val="0"/>
        <w:numPr>
          <w:ilvl w:val="1"/>
          <w:numId w:val="0"/>
        </w:numPr>
        <w:tabs>
          <w:tab w:val="left" w:pos="992"/>
        </w:tabs>
        <w:kinsoku/>
        <w:wordWrap/>
        <w:overflowPunct w:val="0"/>
        <w:topLinePunct w:val="0"/>
        <w:bidi w:val="0"/>
        <w:adjustRightInd/>
        <w:snapToGrid/>
        <w:spacing w:afterLines="0" w:line="360" w:lineRule="auto"/>
        <w:ind w:left="0" w:leftChars="0" w:firstLine="560" w:firstLineChars="200"/>
        <w:rPr>
          <w:rFonts w:hint="eastAsia" w:ascii="仿宋_GB2312" w:hAnsi="仿宋_GB2312" w:eastAsia="仿宋_GB2312" w:cs="仿宋_GB2312"/>
          <w:snapToGrid w:val="0"/>
          <w:kern w:val="0"/>
          <w:sz w:val="28"/>
          <w:szCs w:val="28"/>
        </w:rPr>
      </w:pPr>
      <w:r>
        <w:rPr>
          <w:rFonts w:hint="default" w:ascii="仿宋_GB2312" w:hAnsi="仿宋_GB2312" w:eastAsia="仿宋_GB2312" w:cs="仿宋_GB2312"/>
          <w:snapToGrid w:val="0"/>
          <w:kern w:val="0"/>
          <w:sz w:val="28"/>
          <w:szCs w:val="28"/>
          <w:lang w:val="en-US" w:eastAsia="zh-CN" w:bidi="ar-SA"/>
        </w:rPr>
        <w:t>10.3</w:t>
      </w:r>
      <w:r>
        <w:rPr>
          <w:rFonts w:hint="eastAsia" w:ascii="仿宋_GB2312" w:hAnsi="仿宋_GB2312" w:eastAsia="仿宋_GB2312" w:cs="仿宋_GB2312"/>
          <w:snapToGrid w:val="0"/>
          <w:kern w:val="0"/>
          <w:sz w:val="28"/>
          <w:szCs w:val="28"/>
          <w:lang w:val="en-US" w:eastAsia="zh-CN" w:bidi="ar-SA"/>
        </w:rPr>
        <w:t xml:space="preserve"> </w:t>
      </w:r>
      <w:r>
        <w:rPr>
          <w:rFonts w:hint="eastAsia" w:ascii="仿宋_GB2312" w:hAnsi="仿宋_GB2312" w:eastAsia="仿宋_GB2312" w:cs="仿宋_GB2312"/>
          <w:snapToGrid w:val="0"/>
          <w:kern w:val="0"/>
          <w:sz w:val="28"/>
          <w:szCs w:val="28"/>
        </w:rPr>
        <w:t>【仲裁/诉讼】进行过程中，除双方有争议的部分外，本协议其他部分仍然有效，双方应继续履行。</w:t>
      </w:r>
    </w:p>
    <w:p w14:paraId="3F42923A">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11.通知与送达</w:t>
      </w:r>
    </w:p>
    <w:p w14:paraId="2F72E5D0">
      <w:pPr>
        <w:keepNext w:val="0"/>
        <w:keepLines w:val="0"/>
        <w:pageBreakBefore w:val="0"/>
        <w:widowControl w:val="0"/>
        <w:numPr>
          <w:ilvl w:val="0"/>
          <w:numId w:val="0"/>
        </w:numPr>
        <w:tabs>
          <w:tab w:val="left" w:pos="992"/>
        </w:tabs>
        <w:kinsoku/>
        <w:wordWrap/>
        <w:overflowPunct w:val="0"/>
        <w:topLinePunct w:val="0"/>
        <w:autoSpaceDE/>
        <w:autoSpaceDN/>
        <w:bidi w:val="0"/>
        <w:adjustRightInd/>
        <w:snapToGrid w:val="0"/>
        <w:spacing w:line="360" w:lineRule="auto"/>
        <w:ind w:left="0" w:leftChars="0" w:firstLine="560" w:firstLineChars="200"/>
        <w:jc w:val="both"/>
        <w:outlineLvl w:val="9"/>
        <w:rPr>
          <w:rFonts w:hint="eastAsia" w:ascii="仿宋_GB2312" w:hAnsi="仿宋_GB2312" w:eastAsia="仿宋_GB2312" w:cs="仿宋_GB2312"/>
          <w:snapToGrid w:val="0"/>
          <w:kern w:val="0"/>
          <w:sz w:val="28"/>
          <w:szCs w:val="28"/>
        </w:rPr>
      </w:pPr>
      <w:r>
        <w:rPr>
          <w:rFonts w:hint="eastAsia" w:ascii="仿宋_GB2312" w:hAnsi="仿宋_GB2312" w:eastAsia="仿宋_GB2312" w:cs="仿宋_GB2312"/>
          <w:snapToGrid w:val="0"/>
          <w:kern w:val="0"/>
          <w:sz w:val="28"/>
          <w:szCs w:val="28"/>
        </w:rPr>
        <w:t>本协议项下的通知应以挂号投邮、特快专递、传真、电子邮件方式按以下所示地址、号码、电子邮箱发出。通知</w:t>
      </w:r>
      <w:r>
        <w:rPr>
          <w:rFonts w:hint="eastAsia" w:ascii="仿宋_GB2312" w:hAnsi="仿宋_GB2312" w:eastAsia="仿宋_GB2312" w:cs="仿宋_GB2312"/>
          <w:snapToGrid w:val="0"/>
          <w:kern w:val="0"/>
          <w:sz w:val="28"/>
          <w:szCs w:val="28"/>
          <w:lang w:eastAsia="zh-CN"/>
        </w:rPr>
        <w:t>如</w:t>
      </w:r>
      <w:r>
        <w:rPr>
          <w:rFonts w:hint="eastAsia" w:ascii="仿宋_GB2312" w:hAnsi="仿宋_GB2312" w:eastAsia="仿宋_GB2312" w:cs="仿宋_GB2312"/>
          <w:snapToGrid w:val="0"/>
          <w:kern w:val="0"/>
          <w:sz w:val="28"/>
          <w:szCs w:val="28"/>
        </w:rPr>
        <w:t>以挂号信件或特快专递寄送，以信件交寄邮局或快递公司后</w:t>
      </w:r>
      <w:r>
        <w:rPr>
          <w:rFonts w:hint="eastAsia" w:ascii="仿宋_GB2312" w:hAnsi="仿宋_GB2312" w:eastAsia="仿宋_GB2312" w:cs="仿宋_GB2312"/>
          <w:b w:val="0"/>
          <w:bCs w:val="0"/>
          <w:snapToGrid w:val="0"/>
          <w:kern w:val="0"/>
          <w:sz w:val="28"/>
          <w:szCs w:val="28"/>
          <w:highlight w:val="none"/>
        </w:rPr>
        <w:t>【</w:t>
      </w:r>
      <w:r>
        <w:rPr>
          <w:rFonts w:hint="eastAsia" w:ascii="仿宋_GB2312" w:hAnsi="仿宋_GB2312" w:eastAsia="仿宋_GB2312" w:cs="仿宋_GB2312"/>
          <w:snapToGrid w:val="0"/>
          <w:kern w:val="0"/>
          <w:sz w:val="28"/>
          <w:szCs w:val="28"/>
        </w:rPr>
        <w:t>3</w:t>
      </w:r>
      <w:r>
        <w:rPr>
          <w:rFonts w:hint="eastAsia" w:ascii="仿宋_GB2312" w:hAnsi="仿宋_GB2312" w:eastAsia="仿宋_GB2312" w:cs="仿宋_GB2312"/>
          <w:b w:val="0"/>
          <w:bCs w:val="0"/>
          <w:snapToGrid w:val="0"/>
          <w:kern w:val="0"/>
          <w:sz w:val="28"/>
          <w:szCs w:val="28"/>
          <w:highlight w:val="none"/>
        </w:rPr>
        <w:t>】</w:t>
      </w:r>
      <w:r>
        <w:rPr>
          <w:rFonts w:hint="eastAsia" w:ascii="仿宋_GB2312" w:hAnsi="仿宋_GB2312" w:eastAsia="仿宋_GB2312" w:cs="仿宋_GB2312"/>
          <w:snapToGrid w:val="0"/>
          <w:kern w:val="0"/>
          <w:sz w:val="28"/>
          <w:szCs w:val="28"/>
        </w:rPr>
        <w:t>个工作日视为送达；如以传真或电子邮件方式发送，以传真或电子邮件成功发送之日视为送达。任何一方更改通讯地址、传真号码或电子邮箱等联系信息的，须提前</w:t>
      </w:r>
      <w:r>
        <w:rPr>
          <w:rFonts w:hint="eastAsia" w:ascii="仿宋_GB2312" w:hAnsi="仿宋_GB2312" w:eastAsia="仿宋_GB2312" w:cs="仿宋_GB2312"/>
          <w:b w:val="0"/>
          <w:bCs w:val="0"/>
          <w:snapToGrid w:val="0"/>
          <w:kern w:val="0"/>
          <w:sz w:val="28"/>
          <w:szCs w:val="28"/>
          <w:highlight w:val="none"/>
        </w:rPr>
        <w:t>【</w:t>
      </w:r>
      <w:r>
        <w:rPr>
          <w:rFonts w:hint="eastAsia" w:ascii="仿宋_GB2312" w:hAnsi="仿宋_GB2312" w:eastAsia="仿宋_GB2312" w:cs="仿宋_GB2312"/>
          <w:snapToGrid w:val="0"/>
          <w:kern w:val="0"/>
          <w:sz w:val="28"/>
          <w:szCs w:val="28"/>
        </w:rPr>
        <w:t>7</w:t>
      </w:r>
      <w:r>
        <w:rPr>
          <w:rFonts w:hint="eastAsia" w:ascii="仿宋_GB2312" w:hAnsi="仿宋_GB2312" w:eastAsia="仿宋_GB2312" w:cs="仿宋_GB2312"/>
          <w:b w:val="0"/>
          <w:bCs w:val="0"/>
          <w:snapToGrid w:val="0"/>
          <w:kern w:val="0"/>
          <w:sz w:val="28"/>
          <w:szCs w:val="28"/>
          <w:highlight w:val="none"/>
        </w:rPr>
        <w:t>】</w:t>
      </w:r>
      <w:r>
        <w:rPr>
          <w:rFonts w:hint="eastAsia" w:ascii="仿宋_GB2312" w:hAnsi="仿宋_GB2312" w:eastAsia="仿宋_GB2312" w:cs="仿宋_GB2312"/>
          <w:snapToGrid w:val="0"/>
          <w:kern w:val="0"/>
          <w:sz w:val="28"/>
          <w:szCs w:val="28"/>
        </w:rPr>
        <w:t>个工作日通知另一方</w:t>
      </w:r>
      <w:r>
        <w:rPr>
          <w:rFonts w:hint="eastAsia" w:ascii="仿宋_GB2312" w:hAnsi="仿宋_GB2312" w:eastAsia="仿宋_GB2312" w:cs="仿宋_GB2312"/>
          <w:snapToGrid w:val="0"/>
          <w:kern w:val="0"/>
          <w:sz w:val="28"/>
          <w:szCs w:val="28"/>
          <w:lang w:eastAsia="zh-CN"/>
        </w:rPr>
        <w:t>。</w:t>
      </w:r>
      <w:r>
        <w:rPr>
          <w:rFonts w:hint="eastAsia" w:ascii="仿宋_GB2312" w:hAnsi="仿宋_GB2312" w:eastAsia="仿宋_GB2312" w:cs="仿宋_GB2312"/>
          <w:snapToGrid w:val="0"/>
          <w:kern w:val="0"/>
          <w:sz w:val="28"/>
          <w:szCs w:val="28"/>
        </w:rPr>
        <w:t>如一方未履行通知义务，则原联系信息仍视为有效联系信息。履行变更通知义务的，以变更后的联系信息为有效联系信息。</w:t>
      </w:r>
    </w:p>
    <w:p w14:paraId="4A5F80D4">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6" w:firstLineChars="200"/>
        <w:jc w:val="both"/>
        <w:textAlignment w:val="bottom"/>
        <w:outlineLvl w:val="9"/>
        <w:rPr>
          <w:rFonts w:hint="eastAsia" w:ascii="仿宋_GB2312" w:hAnsi="仿宋_GB2312" w:eastAsia="仿宋_GB2312" w:cs="仿宋_GB2312"/>
          <w:b/>
          <w:bCs/>
          <w:spacing w:val="6"/>
          <w:sz w:val="28"/>
          <w:szCs w:val="28"/>
        </w:rPr>
      </w:pPr>
      <w:r>
        <w:rPr>
          <w:rFonts w:hint="eastAsia" w:ascii="仿宋_GB2312" w:hAnsi="仿宋_GB2312" w:eastAsia="仿宋_GB2312" w:cs="仿宋_GB2312"/>
          <w:b/>
          <w:bCs/>
          <w:spacing w:val="6"/>
          <w:sz w:val="28"/>
          <w:szCs w:val="28"/>
        </w:rPr>
        <w:t>甲方：</w:t>
      </w:r>
    </w:p>
    <w:p w14:paraId="480B1781">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通讯地址：【】</w:t>
      </w:r>
    </w:p>
    <w:p w14:paraId="0DB69E5D">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邮编：【】</w:t>
      </w:r>
    </w:p>
    <w:p w14:paraId="1B78F043">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收件人：【】</w:t>
      </w:r>
    </w:p>
    <w:p w14:paraId="32D0D7EE">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电话：【】</w:t>
      </w:r>
    </w:p>
    <w:p w14:paraId="38744536">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传真：【】</w:t>
      </w:r>
    </w:p>
    <w:p w14:paraId="6B96F9A5">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电子邮箱：【】</w:t>
      </w:r>
    </w:p>
    <w:p w14:paraId="4CC3411C">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6" w:firstLineChars="200"/>
        <w:jc w:val="both"/>
        <w:textAlignment w:val="bottom"/>
        <w:outlineLvl w:val="9"/>
        <w:rPr>
          <w:rFonts w:hint="eastAsia" w:ascii="仿宋_GB2312" w:hAnsi="仿宋_GB2312" w:eastAsia="仿宋_GB2312" w:cs="仿宋_GB2312"/>
          <w:b/>
          <w:bCs/>
          <w:spacing w:val="6"/>
          <w:sz w:val="28"/>
          <w:szCs w:val="28"/>
        </w:rPr>
      </w:pPr>
    </w:p>
    <w:p w14:paraId="37B1741B">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6" w:firstLineChars="200"/>
        <w:jc w:val="both"/>
        <w:textAlignment w:val="bottom"/>
        <w:outlineLvl w:val="9"/>
        <w:rPr>
          <w:rFonts w:hint="eastAsia" w:ascii="仿宋_GB2312" w:hAnsi="仿宋_GB2312" w:eastAsia="仿宋_GB2312" w:cs="仿宋_GB2312"/>
          <w:b/>
          <w:bCs/>
          <w:spacing w:val="6"/>
          <w:sz w:val="28"/>
          <w:szCs w:val="28"/>
        </w:rPr>
      </w:pPr>
      <w:r>
        <w:rPr>
          <w:rFonts w:hint="eastAsia" w:ascii="仿宋_GB2312" w:hAnsi="仿宋_GB2312" w:eastAsia="仿宋_GB2312" w:cs="仿宋_GB2312"/>
          <w:b/>
          <w:bCs/>
          <w:spacing w:val="6"/>
          <w:sz w:val="28"/>
          <w:szCs w:val="28"/>
        </w:rPr>
        <w:t>乙方：</w:t>
      </w:r>
    </w:p>
    <w:p w14:paraId="25DD98FA">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通讯地址：【】</w:t>
      </w:r>
    </w:p>
    <w:p w14:paraId="607E981C">
      <w:pPr>
        <w:keepNext w:val="0"/>
        <w:keepLines w:val="0"/>
        <w:pageBreakBefore w:val="0"/>
        <w:widowControl w:val="0"/>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邮编：【】</w:t>
      </w:r>
    </w:p>
    <w:p w14:paraId="046A157B">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收件人：【】</w:t>
      </w:r>
    </w:p>
    <w:p w14:paraId="3D91902D">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textAlignment w:val="bottom"/>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电话：【】</w:t>
      </w:r>
    </w:p>
    <w:p w14:paraId="1C85A8D7">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t>传真：【】</w:t>
      </w:r>
    </w:p>
    <w:p w14:paraId="13527818">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eastAsia" w:ascii="仿宋_GB2312" w:hAnsi="仿宋_GB2312" w:eastAsia="仿宋_GB2312" w:cs="仿宋_GB2312"/>
          <w:snapToGrid w:val="0"/>
          <w:kern w:val="0"/>
          <w:sz w:val="28"/>
          <w:szCs w:val="28"/>
        </w:rPr>
      </w:pPr>
      <w:r>
        <w:rPr>
          <w:rFonts w:hint="eastAsia" w:ascii="仿宋_GB2312" w:hAnsi="仿宋_GB2312" w:eastAsia="仿宋_GB2312" w:cs="仿宋_GB2312"/>
          <w:spacing w:val="6"/>
          <w:sz w:val="28"/>
          <w:szCs w:val="28"/>
        </w:rPr>
        <w:t>电子邮箱：【】</w:t>
      </w:r>
    </w:p>
    <w:p w14:paraId="5B990C76">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62" w:firstLineChars="200"/>
        <w:jc w:val="both"/>
        <w:outlineLvl w:val="9"/>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12.其他</w:t>
      </w:r>
    </w:p>
    <w:p w14:paraId="0AA4DFC4">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highlight w:val="none"/>
        </w:rPr>
      </w:pPr>
      <w:r>
        <w:rPr>
          <w:rFonts w:hint="default" w:ascii="仿宋_GB2312" w:hAnsi="仿宋_GB2312" w:eastAsia="仿宋_GB2312" w:cs="仿宋_GB2312"/>
          <w:spacing w:val="6"/>
          <w:kern w:val="2"/>
          <w:sz w:val="28"/>
          <w:szCs w:val="28"/>
          <w:lang w:val="en-US" w:eastAsia="zh-CN" w:bidi="ar-SA"/>
        </w:rPr>
        <w:t>12.1</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highlight w:val="none"/>
        </w:rPr>
        <w:t>本</w:t>
      </w:r>
      <w:r>
        <w:rPr>
          <w:rFonts w:hint="eastAsia" w:ascii="仿宋_GB2312" w:hAnsi="仿宋_GB2312" w:eastAsia="仿宋_GB2312" w:cs="仿宋_GB2312"/>
          <w:spacing w:val="6"/>
          <w:sz w:val="28"/>
          <w:szCs w:val="28"/>
          <w:highlight w:val="none"/>
          <w:lang w:val="en-US" w:eastAsia="zh-CN"/>
        </w:rPr>
        <w:t>协议</w:t>
      </w:r>
      <w:r>
        <w:rPr>
          <w:rFonts w:hint="eastAsia" w:ascii="仿宋_GB2312" w:hAnsi="仿宋_GB2312" w:eastAsia="仿宋_GB2312" w:cs="仿宋_GB2312"/>
          <w:spacing w:val="6"/>
          <w:sz w:val="28"/>
          <w:szCs w:val="28"/>
          <w:highlight w:val="none"/>
        </w:rPr>
        <w:t>所称“日”，除特别指明外，指日历日。</w:t>
      </w:r>
      <w:r>
        <w:rPr>
          <w:rFonts w:hint="eastAsia" w:ascii="仿宋_GB2312" w:hAnsi="仿宋_GB2312" w:eastAsia="仿宋_GB2312" w:cs="仿宋_GB2312"/>
          <w:spacing w:val="6"/>
          <w:sz w:val="28"/>
          <w:szCs w:val="28"/>
          <w:highlight w:val="none"/>
          <w:lang w:val="en-US" w:eastAsia="zh-CN"/>
        </w:rPr>
        <w:t>协议</w:t>
      </w:r>
      <w:r>
        <w:rPr>
          <w:rFonts w:hint="eastAsia" w:ascii="仿宋_GB2312" w:hAnsi="仿宋_GB2312" w:eastAsia="仿宋_GB2312" w:cs="仿宋_GB2312"/>
          <w:spacing w:val="6"/>
          <w:sz w:val="28"/>
          <w:szCs w:val="28"/>
          <w:highlight w:val="none"/>
        </w:rPr>
        <w:t>中按日计算时间的，开始当日不计入，从次日开始计算。</w:t>
      </w:r>
      <w:r>
        <w:rPr>
          <w:rFonts w:hint="eastAsia" w:ascii="仿宋_GB2312" w:hAnsi="仿宋_GB2312" w:eastAsia="仿宋_GB2312" w:cs="仿宋_GB2312"/>
          <w:spacing w:val="6"/>
          <w:sz w:val="28"/>
          <w:szCs w:val="28"/>
          <w:highlight w:val="none"/>
          <w:lang w:val="en-US" w:eastAsia="zh-CN"/>
        </w:rPr>
        <w:t>协议</w:t>
      </w:r>
      <w:r>
        <w:rPr>
          <w:rFonts w:hint="eastAsia" w:ascii="仿宋_GB2312" w:hAnsi="仿宋_GB2312" w:eastAsia="仿宋_GB2312" w:cs="仿宋_GB2312"/>
          <w:spacing w:val="6"/>
          <w:sz w:val="28"/>
          <w:szCs w:val="28"/>
          <w:highlight w:val="none"/>
        </w:rPr>
        <w:t>约定的期间的最后一日是星期日或者其他法定休假日的，以休假日的次日为期间的最后一日。</w:t>
      </w:r>
    </w:p>
    <w:p w14:paraId="274BCDFD">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12.2</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本协议自双方法定代表人或授权代表签字并加盖公章或合同专用章之日起生效。</w:t>
      </w:r>
    </w:p>
    <w:p w14:paraId="5D248D6F">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12.3</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本协议各条的标题只供了解该条的内容之用，对该标题下的内容不具有限制范围的作用。</w:t>
      </w:r>
    </w:p>
    <w:p w14:paraId="20022390">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12.4</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本协议及其附件（如有）构成双方就本协议目的达成的完整协议，取代双方之前达成的所有口头或书面的约定书、协商、意向书和其他约定书及文件。</w:t>
      </w:r>
    </w:p>
    <w:p w14:paraId="223FF5ED">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12.5</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除法律另有规定外，本协议部分条款的无效不影响本协议任何</w:t>
      </w:r>
      <w:r>
        <w:rPr>
          <w:rFonts w:hint="eastAsia" w:ascii="仿宋_GB2312" w:hAnsi="仿宋_GB2312" w:eastAsia="仿宋_GB2312" w:cs="仿宋_GB2312"/>
          <w:spacing w:val="6"/>
          <w:sz w:val="28"/>
          <w:szCs w:val="28"/>
          <w:lang w:eastAsia="zh-CN"/>
        </w:rPr>
        <w:t>其他</w:t>
      </w:r>
      <w:r>
        <w:rPr>
          <w:rFonts w:hint="eastAsia" w:ascii="仿宋_GB2312" w:hAnsi="仿宋_GB2312" w:eastAsia="仿宋_GB2312" w:cs="仿宋_GB2312"/>
          <w:spacing w:val="6"/>
          <w:sz w:val="28"/>
          <w:szCs w:val="28"/>
        </w:rPr>
        <w:t>条款的有效性。</w:t>
      </w:r>
    </w:p>
    <w:p w14:paraId="5B464229">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12.6</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附件（如有）为本协议不可分割的组成部分，与正文具有同等法律效力。本协议附件与正文冲突的，以正文为准。</w:t>
      </w:r>
    </w:p>
    <w:p w14:paraId="5DD26AB6">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12.7</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对本协议及附件（如有）的任何变更或修改均需以书面形式进行，并经双方法定代表人或授权代表签字并加盖公章或合同专用章方为有效。</w:t>
      </w:r>
    </w:p>
    <w:p w14:paraId="20D89F7F">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12.8</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本协议未尽事宜将由双方另行协商并签订书面补充协议。补充协议与本协议具有同等法律效力；补充协议与本协议表述不一致的，以补充协议为准。</w:t>
      </w:r>
    </w:p>
    <w:p w14:paraId="427836FE">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12.9</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本协议以中文签署，壹式【】份，甲方持【】份，乙方持【】份，具有同等法律效力。</w:t>
      </w:r>
    </w:p>
    <w:p w14:paraId="7C0CE8A1">
      <w:pPr>
        <w:keepNext w:val="0"/>
        <w:keepLines w:val="0"/>
        <w:pageBreakBefore w:val="0"/>
        <w:widowControl w:val="0"/>
        <w:numPr>
          <w:ilvl w:val="0"/>
          <w:numId w:val="0"/>
        </w:numPr>
        <w:kinsoku/>
        <w:wordWrap/>
        <w:overflowPunct w:val="0"/>
        <w:topLinePunct w:val="0"/>
        <w:autoSpaceDE/>
        <w:autoSpaceDN/>
        <w:bidi w:val="0"/>
        <w:adjustRightInd/>
        <w:snapToGrid w:val="0"/>
        <w:spacing w:line="360" w:lineRule="auto"/>
        <w:ind w:left="0" w:leftChars="0" w:firstLine="584" w:firstLineChars="200"/>
        <w:jc w:val="both"/>
        <w:textAlignment w:val="bottom"/>
        <w:outlineLvl w:val="9"/>
        <w:rPr>
          <w:rFonts w:hint="eastAsia" w:ascii="仿宋_GB2312" w:hAnsi="仿宋_GB2312" w:eastAsia="仿宋_GB2312" w:cs="仿宋_GB2312"/>
          <w:spacing w:val="6"/>
          <w:sz w:val="28"/>
          <w:szCs w:val="28"/>
        </w:rPr>
      </w:pPr>
      <w:r>
        <w:rPr>
          <w:rFonts w:hint="default" w:ascii="仿宋_GB2312" w:hAnsi="仿宋_GB2312" w:eastAsia="仿宋_GB2312" w:cs="仿宋_GB2312"/>
          <w:spacing w:val="6"/>
          <w:kern w:val="2"/>
          <w:sz w:val="28"/>
          <w:szCs w:val="28"/>
          <w:lang w:val="en-US" w:eastAsia="zh-CN" w:bidi="ar-SA"/>
        </w:rPr>
        <w:t>12.10</w:t>
      </w:r>
      <w:r>
        <w:rPr>
          <w:rFonts w:hint="eastAsia" w:ascii="仿宋_GB2312" w:hAnsi="仿宋_GB2312" w:eastAsia="仿宋_GB2312" w:cs="仿宋_GB2312"/>
          <w:spacing w:val="6"/>
          <w:kern w:val="2"/>
          <w:sz w:val="28"/>
          <w:szCs w:val="28"/>
          <w:lang w:val="en-US" w:eastAsia="zh-CN" w:bidi="ar-SA"/>
        </w:rPr>
        <w:t xml:space="preserve"> </w:t>
      </w:r>
      <w:r>
        <w:rPr>
          <w:rFonts w:hint="eastAsia" w:ascii="仿宋_GB2312" w:hAnsi="仿宋_GB2312" w:eastAsia="仿宋_GB2312" w:cs="仿宋_GB2312"/>
          <w:spacing w:val="6"/>
          <w:sz w:val="28"/>
          <w:szCs w:val="28"/>
        </w:rPr>
        <w:t>双方应在本协议签订前分别向对方提供其授权有关人员签订本协议的授权文件，双方的授权委托书原件由对方存档。</w:t>
      </w:r>
    </w:p>
    <w:p w14:paraId="5E2000A3">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lang w:eastAsia="zh-CN"/>
        </w:rPr>
        <w:t>1</w:t>
      </w:r>
      <w:r>
        <w:rPr>
          <w:rFonts w:hint="eastAsia" w:ascii="仿宋_GB2312" w:hAnsi="仿宋_GB2312" w:eastAsia="仿宋_GB2312" w:cs="仿宋_GB2312"/>
          <w:spacing w:val="6"/>
          <w:sz w:val="28"/>
          <w:szCs w:val="28"/>
          <w:lang w:val="en-US" w:eastAsia="zh-CN"/>
        </w:rPr>
        <w:t>2</w:t>
      </w:r>
      <w:r>
        <w:rPr>
          <w:rFonts w:hint="default" w:ascii="仿宋_GB2312" w:hAnsi="仿宋_GB2312" w:eastAsia="仿宋_GB2312" w:cs="仿宋_GB2312"/>
          <w:spacing w:val="6"/>
          <w:sz w:val="28"/>
          <w:szCs w:val="28"/>
        </w:rPr>
        <w:t>.11中介机构履约评价机制</w:t>
      </w:r>
    </w:p>
    <w:p w14:paraId="617F1B7A">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1.评价原则：委托人将依据本合同及附件《中介机构履约评价表》对受托人的服务进行全过程监督和阶段性评价。评价结果实行百分制，评价结果将作为委托人支付服务尾款及决定是否续签合同的前置条件。</w:t>
      </w:r>
    </w:p>
    <w:p w14:paraId="01BF5CA8">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2.评价类型：</w:t>
      </w:r>
    </w:p>
    <w:p w14:paraId="66FC0802">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即时评价：适用于有明确交付成果的服务（如报告、设计文件）。受托人提交的成果经委托人验收合格后，委托人将依据附件标准进行评分。</w:t>
      </w:r>
    </w:p>
    <w:p w14:paraId="64A5BB5B">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续签评价：适用于合同期限超过6个月的长期服务（如常年法律顾问）。合同期满前30日内，委托人将组织最终履约评价。</w:t>
      </w:r>
    </w:p>
    <w:p w14:paraId="598CBBDF">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3.评价等级与后果：</w:t>
      </w:r>
    </w:p>
    <w:p w14:paraId="467FA98B">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优秀（≥90分）：委托人将优先推荐受托人参与后续业务，优先续签。</w:t>
      </w:r>
    </w:p>
    <w:p w14:paraId="5F928455">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良好（75-89分）：受托人服务合格，委托人可根据业务需求决定正常续签。</w:t>
      </w:r>
    </w:p>
    <w:p w14:paraId="58C6CC46">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合格（60-74分）：受托人需在收到委托人通知后【5】日内提交整改方案并落实。整改验收通过后，委托人可酌情决定是否续签。</w:t>
      </w:r>
    </w:p>
    <w:p w14:paraId="006120F4">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不合格（&lt;60分）：委托人有权立即终止合同，拒绝支付剩余款项，并将受托人列入委托人“黑名单”，2年内不得参与委托人及委托人所属单位的任何中介服务项目。</w:t>
      </w:r>
    </w:p>
    <w:p w14:paraId="31B0E504">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4.评价结果运用：委托人将建立中介机构履约档案，评价结果作为后续选聘、续签、推荐或淘汰的依据。</w:t>
      </w:r>
    </w:p>
    <w:p w14:paraId="622AC303">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附件：《中介约评价表》作为本合同本合同不可分割的组成部分。</w:t>
      </w:r>
    </w:p>
    <w:p w14:paraId="1F07FF3A">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lang w:eastAsia="zh-CN"/>
        </w:rPr>
        <w:t>1</w:t>
      </w:r>
      <w:r>
        <w:rPr>
          <w:rFonts w:hint="eastAsia" w:ascii="仿宋_GB2312" w:hAnsi="仿宋_GB2312" w:eastAsia="仿宋_GB2312" w:cs="仿宋_GB2312"/>
          <w:spacing w:val="6"/>
          <w:sz w:val="28"/>
          <w:szCs w:val="28"/>
          <w:lang w:val="en-US" w:eastAsia="zh-CN"/>
        </w:rPr>
        <w:t>2</w:t>
      </w:r>
      <w:r>
        <w:rPr>
          <w:rFonts w:hint="default" w:ascii="仿宋_GB2312" w:hAnsi="仿宋_GB2312" w:eastAsia="仿宋_GB2312" w:cs="仿宋_GB2312"/>
          <w:spacing w:val="6"/>
          <w:sz w:val="28"/>
          <w:szCs w:val="28"/>
        </w:rPr>
        <w:t>.12审计条款</w:t>
      </w:r>
    </w:p>
    <w:p w14:paraId="74A38692">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default" w:ascii="仿宋_GB2312" w:hAnsi="仿宋_GB2312" w:eastAsia="仿宋_GB2312" w:cs="仿宋_GB2312"/>
          <w:spacing w:val="6"/>
          <w:sz w:val="28"/>
          <w:szCs w:val="28"/>
        </w:rPr>
      </w:pPr>
      <w:r>
        <w:rPr>
          <w:rFonts w:hint="default" w:ascii="仿宋_GB2312" w:hAnsi="仿宋_GB2312" w:eastAsia="仿宋_GB2312" w:cs="仿宋_GB2312"/>
          <w:spacing w:val="6"/>
          <w:sz w:val="28"/>
          <w:szCs w:val="28"/>
        </w:rPr>
        <w:t>1.委托人、受托人双方完成交工结算后，若委托人委托第三方审计机构或政府审计部门对项目进行审计的，受托人承诺配合委托人完成审计工作。双方同意，若委托人委托第三方审计机构或政府审计部门出具的审计报告载明的审计结论对交工结算金额提出审减结论，则受托人应在收到委托人书面通知之日起30日内，将审减金额一次性退还至委托人指定账户。逾期未足额退还的，承包人应按全国银行间同业拆借中心公布的同期贷款市场报价利率（一年期LPR）的利率向发包人支付违约金。违约金计算基数为承包人未退还的审减金额，时间从应退而未退该款额之日算起（不计复利）。</w:t>
      </w:r>
    </w:p>
    <w:p w14:paraId="28BFD511">
      <w:pPr>
        <w:keepNext w:val="0"/>
        <w:keepLines w:val="0"/>
        <w:pageBreakBefore w:val="0"/>
        <w:widowControl w:val="0"/>
        <w:kinsoku/>
        <w:wordWrap/>
        <w:overflowPunct w:val="0"/>
        <w:topLinePunct w:val="0"/>
        <w:autoSpaceDE/>
        <w:autoSpaceDN/>
        <w:bidi w:val="0"/>
        <w:adjustRightInd/>
        <w:snapToGrid w:val="0"/>
        <w:spacing w:line="360" w:lineRule="auto"/>
        <w:ind w:left="0" w:firstLine="584" w:firstLineChars="200"/>
        <w:jc w:val="both"/>
        <w:outlineLvl w:val="9"/>
        <w:rPr>
          <w:rFonts w:hint="eastAsia" w:ascii="仿宋_GB2312" w:hAnsi="仿宋_GB2312" w:eastAsia="仿宋_GB2312" w:cs="仿宋_GB2312"/>
          <w:snapToGrid w:val="0"/>
          <w:kern w:val="0"/>
          <w:sz w:val="28"/>
          <w:szCs w:val="28"/>
          <w:lang w:eastAsia="zh-CN"/>
        </w:rPr>
      </w:pPr>
      <w:r>
        <w:rPr>
          <w:rFonts w:hint="default" w:ascii="仿宋_GB2312" w:hAnsi="仿宋_GB2312" w:eastAsia="仿宋_GB2312" w:cs="仿宋_GB2312"/>
          <w:spacing w:val="6"/>
          <w:sz w:val="28"/>
          <w:szCs w:val="28"/>
        </w:rPr>
        <w:t>2.委托人、受托人双方完成最终结清后，若政府审计部门对项目进行审计的，受托人承诺配合委托人完成审计工作。双方同意，若政府审计部门出具的审计报告载明的审计结论对最终结清金额提出审减结论，则受托人应在收到委托人书面通知之日起30日内，将审减金额一次性退还至委托人指定账户。逾期未足额退还的，承包人应按全国银行间同业拆借中心公布的同期贷款市场报价利率（一年期LPR）的利率向发包人支付违约金。违约金计算基数为承包人未退还的审减金额，时间从应退而未退该款额之日算起（不计复利）</w:t>
      </w:r>
      <w:r>
        <w:rPr>
          <w:rFonts w:hint="eastAsia" w:ascii="仿宋_GB2312" w:hAnsi="仿宋_GB2312" w:eastAsia="仿宋_GB2312" w:cs="仿宋_GB2312"/>
          <w:spacing w:val="6"/>
          <w:sz w:val="28"/>
          <w:szCs w:val="28"/>
          <w:lang w:eastAsia="zh-CN"/>
        </w:rPr>
        <w:t>。</w:t>
      </w:r>
    </w:p>
    <w:p w14:paraId="2B4B8B52">
      <w:pPr>
        <w:keepNext w:val="0"/>
        <w:keepLines w:val="0"/>
        <w:pageBreakBefore w:val="0"/>
        <w:widowControl w:val="0"/>
        <w:kinsoku/>
        <w:wordWrap/>
        <w:overflowPunct w:val="0"/>
        <w:topLinePunct w:val="0"/>
        <w:autoSpaceDE/>
        <w:autoSpaceDN/>
        <w:bidi w:val="0"/>
        <w:adjustRightInd/>
        <w:snapToGrid w:val="0"/>
        <w:spacing w:line="360" w:lineRule="auto"/>
        <w:ind w:left="0" w:firstLine="560" w:firstLineChars="200"/>
        <w:jc w:val="both"/>
        <w:outlineLvl w:val="9"/>
        <w:rPr>
          <w:rFonts w:hint="eastAsia" w:ascii="仿宋_GB2312" w:hAnsi="仿宋_GB2312" w:eastAsia="仿宋_GB2312" w:cs="仿宋_GB2312"/>
          <w:snapToGrid w:val="0"/>
          <w:kern w:val="0"/>
          <w:sz w:val="28"/>
          <w:szCs w:val="28"/>
        </w:rPr>
      </w:pPr>
      <w:r>
        <w:rPr>
          <w:rFonts w:hint="eastAsia" w:ascii="仿宋_GB2312" w:hAnsi="仿宋_GB2312" w:eastAsia="仿宋_GB2312" w:cs="仿宋_GB2312"/>
          <w:snapToGrid w:val="0"/>
          <w:kern w:val="0"/>
          <w:sz w:val="28"/>
          <w:szCs w:val="28"/>
        </w:rPr>
        <w:t>（以下无正文</w:t>
      </w:r>
      <w:r>
        <w:rPr>
          <w:rFonts w:hint="eastAsia" w:ascii="仿宋_GB2312" w:hAnsi="仿宋_GB2312" w:eastAsia="仿宋_GB2312" w:cs="仿宋_GB2312"/>
          <w:kern w:val="0"/>
          <w:sz w:val="28"/>
          <w:szCs w:val="28"/>
          <w:lang w:val="zh-CN"/>
        </w:rPr>
        <w:t>，为【】与【】就《</w:t>
      </w:r>
      <w:r>
        <w:rPr>
          <w:rFonts w:hint="eastAsia" w:ascii="仿宋_GB2312" w:hAnsi="仿宋_GB2312" w:eastAsia="仿宋_GB2312" w:cs="仿宋_GB2312"/>
          <w:kern w:val="0"/>
          <w:sz w:val="28"/>
          <w:szCs w:val="28"/>
          <w:lang w:val="en-US" w:eastAsia="zh-CN"/>
        </w:rPr>
        <w:t>试运营期高边坡监测委托服务协议</w:t>
      </w:r>
      <w:r>
        <w:rPr>
          <w:rFonts w:hint="eastAsia" w:ascii="仿宋_GB2312" w:hAnsi="仿宋_GB2312" w:eastAsia="仿宋_GB2312" w:cs="仿宋_GB2312"/>
          <w:kern w:val="0"/>
          <w:sz w:val="28"/>
          <w:szCs w:val="28"/>
          <w:lang w:val="zh-CN"/>
        </w:rPr>
        <w:t>》的</w:t>
      </w:r>
      <w:r>
        <w:rPr>
          <w:rFonts w:hint="eastAsia" w:ascii="仿宋_GB2312" w:hAnsi="仿宋_GB2312" w:eastAsia="仿宋_GB2312" w:cs="仿宋_GB2312"/>
          <w:bCs/>
          <w:kern w:val="0"/>
          <w:sz w:val="28"/>
          <w:szCs w:val="28"/>
          <w:lang w:val="zh-CN"/>
        </w:rPr>
        <w:t>签字页</w:t>
      </w:r>
      <w:r>
        <w:rPr>
          <w:rFonts w:hint="eastAsia" w:ascii="仿宋_GB2312" w:hAnsi="仿宋_GB2312" w:eastAsia="仿宋_GB2312" w:cs="仿宋_GB2312"/>
          <w:snapToGrid w:val="0"/>
          <w:kern w:val="0"/>
          <w:sz w:val="28"/>
          <w:szCs w:val="28"/>
        </w:rPr>
        <w:t>）</w:t>
      </w:r>
    </w:p>
    <w:p w14:paraId="1426D7D3">
      <w:pPr>
        <w:keepNext w:val="0"/>
        <w:keepLines w:val="0"/>
        <w:pageBreakBefore w:val="0"/>
        <w:widowControl w:val="0"/>
        <w:kinsoku/>
        <w:wordWrap/>
        <w:overflowPunct w:val="0"/>
        <w:topLinePunct w:val="0"/>
        <w:autoSpaceDE/>
        <w:autoSpaceDN/>
        <w:bidi w:val="0"/>
        <w:adjustRightInd/>
        <w:snapToGrid/>
        <w:spacing w:line="360" w:lineRule="auto"/>
        <w:ind w:firstLine="0" w:firstLineChars="0"/>
        <w:jc w:val="both"/>
        <w:textAlignment w:val="auto"/>
        <w:outlineLvl w:val="9"/>
        <w:rPr>
          <w:rFonts w:hint="eastAsia" w:ascii="仿宋_GB2312" w:hAnsi="仿宋_GB2312" w:eastAsia="仿宋_GB2312" w:cs="仿宋_GB2312"/>
          <w:bCs/>
          <w:kern w:val="0"/>
          <w:sz w:val="28"/>
          <w:szCs w:val="28"/>
          <w:lang w:val="zh-CN"/>
        </w:rPr>
      </w:pPr>
      <w:r>
        <w:rPr>
          <w:rFonts w:hint="eastAsia" w:ascii="仿宋_GB2312" w:hAnsi="仿宋_GB2312" w:eastAsia="仿宋_GB2312" w:cs="仿宋_GB2312"/>
          <w:kern w:val="0"/>
          <w:sz w:val="28"/>
          <w:szCs w:val="28"/>
          <w:lang w:val="zh-CN"/>
        </w:rPr>
        <w:t>（本页无正文，为【】与【】就《</w:t>
      </w:r>
      <w:r>
        <w:rPr>
          <w:rFonts w:hint="eastAsia" w:ascii="仿宋_GB2312" w:hAnsi="仿宋_GB2312" w:eastAsia="仿宋_GB2312" w:cs="仿宋_GB2312"/>
          <w:kern w:val="0"/>
          <w:sz w:val="28"/>
          <w:szCs w:val="28"/>
          <w:lang w:val="en-US" w:eastAsia="zh-CN"/>
        </w:rPr>
        <w:t>试运营期高边坡监测委托服务协议</w:t>
      </w:r>
      <w:r>
        <w:rPr>
          <w:rFonts w:hint="eastAsia" w:ascii="仿宋_GB2312" w:hAnsi="仿宋_GB2312" w:eastAsia="仿宋_GB2312" w:cs="仿宋_GB2312"/>
          <w:kern w:val="0"/>
          <w:sz w:val="28"/>
          <w:szCs w:val="28"/>
          <w:lang w:val="zh-CN"/>
        </w:rPr>
        <w:t>》的</w:t>
      </w:r>
      <w:r>
        <w:rPr>
          <w:rFonts w:hint="eastAsia" w:ascii="仿宋_GB2312" w:hAnsi="仿宋_GB2312" w:eastAsia="仿宋_GB2312" w:cs="仿宋_GB2312"/>
          <w:bCs/>
          <w:kern w:val="0"/>
          <w:sz w:val="28"/>
          <w:szCs w:val="28"/>
          <w:lang w:val="zh-CN"/>
        </w:rPr>
        <w:t>签字页）</w:t>
      </w:r>
    </w:p>
    <w:p w14:paraId="220024C6">
      <w:pPr>
        <w:keepNext w:val="0"/>
        <w:keepLines w:val="0"/>
        <w:pageBreakBefore w:val="0"/>
        <w:widowControl w:val="0"/>
        <w:kinsoku/>
        <w:wordWrap/>
        <w:overflowPunct w:val="0"/>
        <w:topLinePunct w:val="0"/>
        <w:autoSpaceDE/>
        <w:autoSpaceDN/>
        <w:bidi w:val="0"/>
        <w:adjustRightInd/>
        <w:snapToGrid/>
        <w:spacing w:line="360" w:lineRule="auto"/>
        <w:ind w:left="0" w:firstLine="0" w:firstLineChars="0"/>
        <w:jc w:val="both"/>
        <w:textAlignment w:val="auto"/>
        <w:outlineLvl w:val="9"/>
        <w:rPr>
          <w:rFonts w:hint="eastAsia" w:ascii="仿宋_GB2312" w:hAnsi="仿宋_GB2312" w:eastAsia="仿宋_GB2312" w:cs="仿宋_GB2312"/>
          <w:b/>
          <w:bCs/>
          <w:kern w:val="0"/>
          <w:sz w:val="28"/>
          <w:szCs w:val="28"/>
          <w:lang w:val="zh-CN"/>
        </w:rPr>
      </w:pPr>
    </w:p>
    <w:p w14:paraId="16A4FF9F">
      <w:pPr>
        <w:keepNext w:val="0"/>
        <w:keepLines w:val="0"/>
        <w:pageBreakBefore w:val="0"/>
        <w:widowControl w:val="0"/>
        <w:kinsoku/>
        <w:wordWrap/>
        <w:overflowPunct w:val="0"/>
        <w:topLinePunct w:val="0"/>
        <w:autoSpaceDE/>
        <w:autoSpaceDN/>
        <w:bidi w:val="0"/>
        <w:adjustRightInd/>
        <w:snapToGrid/>
        <w:spacing w:line="360" w:lineRule="auto"/>
        <w:ind w:firstLine="0" w:firstLineChars="0"/>
        <w:jc w:val="both"/>
        <w:textAlignment w:val="auto"/>
        <w:outlineLvl w:val="9"/>
        <w:rPr>
          <w:rFonts w:hint="eastAsia" w:ascii="仿宋_GB2312" w:hAnsi="仿宋_GB2312" w:eastAsia="仿宋_GB2312" w:cs="仿宋_GB2312"/>
          <w:b w:val="0"/>
          <w:bCs w:val="0"/>
          <w:snapToGrid w:val="0"/>
          <w:kern w:val="0"/>
          <w:sz w:val="28"/>
          <w:szCs w:val="28"/>
        </w:rPr>
      </w:pPr>
      <w:r>
        <w:rPr>
          <w:rFonts w:hint="eastAsia" w:ascii="仿宋_GB2312" w:hAnsi="仿宋_GB2312" w:eastAsia="仿宋_GB2312" w:cs="仿宋_GB2312"/>
          <w:b w:val="0"/>
          <w:bCs w:val="0"/>
          <w:kern w:val="0"/>
          <w:sz w:val="28"/>
          <w:szCs w:val="28"/>
          <w:lang w:val="zh-CN"/>
        </w:rPr>
        <w:t>委托人（甲方）：</w:t>
      </w:r>
      <w:r>
        <w:rPr>
          <w:rFonts w:hint="eastAsia" w:ascii="仿宋_GB2312" w:hAnsi="仿宋_GB2312" w:eastAsia="仿宋_GB2312" w:cs="仿宋_GB2312"/>
          <w:b w:val="0"/>
          <w:bCs w:val="0"/>
          <w:snapToGrid w:val="0"/>
          <w:kern w:val="0"/>
          <w:sz w:val="28"/>
          <w:szCs w:val="28"/>
        </w:rPr>
        <w:t>【】</w:t>
      </w:r>
      <w:r>
        <w:rPr>
          <w:rFonts w:hint="eastAsia" w:ascii="仿宋_GB2312" w:hAnsi="仿宋_GB2312" w:eastAsia="仿宋_GB2312" w:cs="仿宋_GB2312"/>
          <w:b w:val="0"/>
          <w:bCs w:val="0"/>
          <w:kern w:val="0"/>
          <w:sz w:val="28"/>
          <w:szCs w:val="28"/>
          <w:lang w:val="zh-CN"/>
        </w:rPr>
        <w:t>（</w:t>
      </w:r>
      <w:r>
        <w:rPr>
          <w:rFonts w:hint="eastAsia" w:ascii="仿宋_GB2312" w:hAnsi="仿宋_GB2312" w:eastAsia="仿宋_GB2312" w:cs="仿宋_GB2312"/>
          <w:b w:val="0"/>
          <w:bCs w:val="0"/>
          <w:snapToGrid w:val="0"/>
          <w:kern w:val="0"/>
          <w:sz w:val="28"/>
          <w:szCs w:val="28"/>
        </w:rPr>
        <w:t>盖章</w:t>
      </w:r>
      <w:r>
        <w:rPr>
          <w:rFonts w:hint="eastAsia" w:ascii="仿宋_GB2312" w:hAnsi="仿宋_GB2312" w:eastAsia="仿宋_GB2312" w:cs="仿宋_GB2312"/>
          <w:b w:val="0"/>
          <w:bCs w:val="0"/>
          <w:kern w:val="0"/>
          <w:sz w:val="28"/>
          <w:szCs w:val="28"/>
          <w:lang w:val="zh-CN"/>
        </w:rPr>
        <w:t>）</w:t>
      </w:r>
      <w:r>
        <w:rPr>
          <w:rFonts w:hint="eastAsia" w:ascii="仿宋_GB2312" w:hAnsi="仿宋_GB2312" w:eastAsia="仿宋_GB2312" w:cs="仿宋_GB2312"/>
          <w:b w:val="0"/>
          <w:bCs w:val="0"/>
          <w:kern w:val="0"/>
          <w:sz w:val="28"/>
          <w:szCs w:val="24"/>
          <w:lang w:val="zh-CN"/>
        </w:rPr>
        <w:t>：</w:t>
      </w:r>
    </w:p>
    <w:p w14:paraId="0D64DF2E">
      <w:pPr>
        <w:keepNext w:val="0"/>
        <w:keepLines w:val="0"/>
        <w:pageBreakBefore w:val="0"/>
        <w:widowControl w:val="0"/>
        <w:kinsoku/>
        <w:wordWrap/>
        <w:overflowPunct w:val="0"/>
        <w:topLinePunct w:val="0"/>
        <w:autoSpaceDE/>
        <w:autoSpaceDN/>
        <w:bidi w:val="0"/>
        <w:adjustRightInd/>
        <w:snapToGrid/>
        <w:spacing w:line="360" w:lineRule="auto"/>
        <w:ind w:firstLine="0" w:firstLineChars="0"/>
        <w:jc w:val="both"/>
        <w:textAlignment w:val="auto"/>
        <w:outlineLvl w:val="9"/>
        <w:rPr>
          <w:rFonts w:hint="eastAsia" w:ascii="仿宋_GB2312" w:hAnsi="仿宋_GB2312" w:eastAsia="仿宋_GB2312" w:cs="仿宋_GB2312"/>
          <w:bCs/>
          <w:kern w:val="0"/>
          <w:sz w:val="28"/>
          <w:szCs w:val="28"/>
          <w:lang w:val="zh-CN"/>
        </w:rPr>
      </w:pPr>
      <w:r>
        <w:rPr>
          <w:rFonts w:hint="eastAsia" w:ascii="仿宋_GB2312" w:hAnsi="仿宋_GB2312" w:eastAsia="仿宋_GB2312" w:cs="仿宋_GB2312"/>
          <w:bCs/>
          <w:kern w:val="0"/>
          <w:sz w:val="28"/>
          <w:szCs w:val="28"/>
          <w:lang w:val="zh-CN"/>
        </w:rPr>
        <w:t>法定代表人或授权代表：【】（签字）</w:t>
      </w:r>
      <w:r>
        <w:rPr>
          <w:rFonts w:hint="eastAsia" w:ascii="仿宋_GB2312" w:hAnsi="仿宋_GB2312" w:eastAsia="仿宋_GB2312" w:cs="仿宋_GB2312"/>
          <w:b/>
          <w:bCs/>
          <w:kern w:val="0"/>
          <w:sz w:val="28"/>
          <w:szCs w:val="24"/>
          <w:lang w:val="zh-CN"/>
        </w:rPr>
        <w:t>：</w:t>
      </w:r>
    </w:p>
    <w:p w14:paraId="21FD7EE5">
      <w:pPr>
        <w:keepNext w:val="0"/>
        <w:keepLines w:val="0"/>
        <w:pageBreakBefore w:val="0"/>
        <w:widowControl w:val="0"/>
        <w:kinsoku/>
        <w:wordWrap/>
        <w:overflowPunct w:val="0"/>
        <w:topLinePunct w:val="0"/>
        <w:autoSpaceDE/>
        <w:autoSpaceDN/>
        <w:bidi w:val="0"/>
        <w:adjustRightInd/>
        <w:snapToGrid/>
        <w:spacing w:line="360" w:lineRule="auto"/>
        <w:ind w:left="0" w:firstLine="0" w:firstLineChars="0"/>
        <w:jc w:val="both"/>
        <w:textAlignment w:val="auto"/>
        <w:outlineLvl w:val="9"/>
        <w:rPr>
          <w:rFonts w:hint="eastAsia" w:ascii="仿宋_GB2312" w:hAnsi="仿宋_GB2312" w:eastAsia="仿宋_GB2312" w:cs="仿宋_GB2312"/>
          <w:snapToGrid w:val="0"/>
          <w:kern w:val="0"/>
          <w:sz w:val="28"/>
          <w:szCs w:val="28"/>
        </w:rPr>
      </w:pPr>
    </w:p>
    <w:p w14:paraId="233A97CB">
      <w:pPr>
        <w:keepNext w:val="0"/>
        <w:keepLines w:val="0"/>
        <w:pageBreakBefore w:val="0"/>
        <w:widowControl w:val="0"/>
        <w:kinsoku/>
        <w:wordWrap/>
        <w:overflowPunct w:val="0"/>
        <w:topLinePunct w:val="0"/>
        <w:autoSpaceDE/>
        <w:autoSpaceDN/>
        <w:bidi w:val="0"/>
        <w:adjustRightInd/>
        <w:snapToGrid/>
        <w:spacing w:line="360" w:lineRule="auto"/>
        <w:ind w:left="0" w:firstLine="0" w:firstLineChars="0"/>
        <w:jc w:val="both"/>
        <w:textAlignment w:val="auto"/>
        <w:outlineLvl w:val="9"/>
        <w:rPr>
          <w:rFonts w:hint="eastAsia" w:ascii="仿宋_GB2312" w:hAnsi="仿宋_GB2312" w:eastAsia="仿宋_GB2312" w:cs="仿宋_GB2312"/>
          <w:snapToGrid w:val="0"/>
          <w:kern w:val="0"/>
          <w:sz w:val="28"/>
          <w:szCs w:val="28"/>
        </w:rPr>
      </w:pPr>
    </w:p>
    <w:p w14:paraId="256E87E0">
      <w:pPr>
        <w:keepNext w:val="0"/>
        <w:keepLines w:val="0"/>
        <w:pageBreakBefore w:val="0"/>
        <w:widowControl w:val="0"/>
        <w:kinsoku/>
        <w:wordWrap/>
        <w:overflowPunct w:val="0"/>
        <w:topLinePunct w:val="0"/>
        <w:autoSpaceDE/>
        <w:autoSpaceDN/>
        <w:bidi w:val="0"/>
        <w:adjustRightInd/>
        <w:snapToGrid/>
        <w:spacing w:line="360" w:lineRule="auto"/>
        <w:ind w:left="0" w:firstLine="0" w:firstLineChars="0"/>
        <w:jc w:val="both"/>
        <w:textAlignment w:val="auto"/>
        <w:outlineLvl w:val="9"/>
        <w:rPr>
          <w:rFonts w:hint="eastAsia" w:ascii="仿宋_GB2312" w:hAnsi="仿宋_GB2312" w:eastAsia="仿宋_GB2312" w:cs="仿宋_GB2312"/>
          <w:snapToGrid w:val="0"/>
          <w:kern w:val="0"/>
          <w:sz w:val="28"/>
          <w:szCs w:val="28"/>
        </w:rPr>
      </w:pPr>
    </w:p>
    <w:p w14:paraId="6464680C">
      <w:pPr>
        <w:keepNext w:val="0"/>
        <w:keepLines w:val="0"/>
        <w:pageBreakBefore w:val="0"/>
        <w:widowControl w:val="0"/>
        <w:kinsoku/>
        <w:wordWrap/>
        <w:overflowPunct w:val="0"/>
        <w:topLinePunct w:val="0"/>
        <w:autoSpaceDE/>
        <w:autoSpaceDN/>
        <w:bidi w:val="0"/>
        <w:adjustRightInd/>
        <w:snapToGrid/>
        <w:spacing w:line="360" w:lineRule="auto"/>
        <w:ind w:firstLine="0" w:firstLineChars="0"/>
        <w:jc w:val="both"/>
        <w:textAlignment w:val="auto"/>
        <w:outlineLvl w:val="9"/>
        <w:rPr>
          <w:rFonts w:hint="eastAsia" w:ascii="仿宋_GB2312" w:hAnsi="仿宋_GB2312" w:eastAsia="仿宋_GB2312" w:cs="仿宋_GB2312"/>
          <w:b w:val="0"/>
          <w:bCs w:val="0"/>
          <w:kern w:val="0"/>
          <w:sz w:val="28"/>
          <w:szCs w:val="28"/>
          <w:lang w:val="zh-CN"/>
        </w:rPr>
      </w:pPr>
      <w:r>
        <w:rPr>
          <w:rFonts w:hint="eastAsia" w:ascii="仿宋_GB2312" w:hAnsi="仿宋_GB2312" w:eastAsia="仿宋_GB2312" w:cs="仿宋_GB2312"/>
          <w:b w:val="0"/>
          <w:bCs w:val="0"/>
          <w:kern w:val="0"/>
          <w:sz w:val="28"/>
          <w:szCs w:val="28"/>
          <w:lang w:val="zh-CN"/>
        </w:rPr>
        <w:t>受托人（乙方）：【】（</w:t>
      </w:r>
      <w:r>
        <w:rPr>
          <w:rFonts w:hint="eastAsia" w:ascii="仿宋_GB2312" w:hAnsi="仿宋_GB2312" w:eastAsia="仿宋_GB2312" w:cs="仿宋_GB2312"/>
          <w:b w:val="0"/>
          <w:bCs w:val="0"/>
          <w:snapToGrid w:val="0"/>
          <w:kern w:val="0"/>
          <w:sz w:val="28"/>
          <w:szCs w:val="28"/>
        </w:rPr>
        <w:t>盖章</w:t>
      </w:r>
      <w:r>
        <w:rPr>
          <w:rFonts w:hint="eastAsia" w:ascii="仿宋_GB2312" w:hAnsi="仿宋_GB2312" w:eastAsia="仿宋_GB2312" w:cs="仿宋_GB2312"/>
          <w:b w:val="0"/>
          <w:bCs w:val="0"/>
          <w:kern w:val="0"/>
          <w:sz w:val="28"/>
          <w:szCs w:val="28"/>
          <w:lang w:val="zh-CN"/>
        </w:rPr>
        <w:t>）</w:t>
      </w:r>
      <w:r>
        <w:rPr>
          <w:rFonts w:hint="eastAsia" w:ascii="仿宋_GB2312" w:hAnsi="仿宋_GB2312" w:eastAsia="仿宋_GB2312" w:cs="仿宋_GB2312"/>
          <w:b w:val="0"/>
          <w:bCs w:val="0"/>
          <w:kern w:val="0"/>
          <w:sz w:val="28"/>
          <w:szCs w:val="24"/>
          <w:lang w:val="zh-CN"/>
        </w:rPr>
        <w:t>：</w:t>
      </w:r>
    </w:p>
    <w:p w14:paraId="11C4E54F">
      <w:pPr>
        <w:keepNext w:val="0"/>
        <w:keepLines w:val="0"/>
        <w:pageBreakBefore w:val="0"/>
        <w:widowControl w:val="0"/>
        <w:kinsoku/>
        <w:wordWrap/>
        <w:overflowPunct w:val="0"/>
        <w:topLinePunct w:val="0"/>
        <w:autoSpaceDE/>
        <w:autoSpaceDN/>
        <w:bidi w:val="0"/>
        <w:adjustRightInd/>
        <w:snapToGrid/>
        <w:spacing w:line="360" w:lineRule="auto"/>
        <w:ind w:firstLine="0" w:firstLineChars="0"/>
        <w:jc w:val="both"/>
        <w:textAlignment w:val="auto"/>
        <w:outlineLvl w:val="9"/>
        <w:rPr>
          <w:rFonts w:hint="eastAsia" w:ascii="仿宋_GB2312" w:hAnsi="仿宋_GB2312" w:eastAsia="仿宋_GB2312" w:cs="仿宋_GB2312"/>
          <w:bCs/>
          <w:kern w:val="0"/>
          <w:sz w:val="28"/>
          <w:szCs w:val="28"/>
          <w:lang w:val="zh-CN"/>
        </w:rPr>
      </w:pPr>
      <w:r>
        <w:rPr>
          <w:rFonts w:hint="eastAsia" w:ascii="仿宋_GB2312" w:hAnsi="仿宋_GB2312" w:eastAsia="仿宋_GB2312" w:cs="仿宋_GB2312"/>
          <w:bCs/>
          <w:kern w:val="0"/>
          <w:sz w:val="28"/>
          <w:szCs w:val="28"/>
          <w:lang w:val="zh-CN"/>
        </w:rPr>
        <w:t>法定代表人或授权代表：【】（签字）</w:t>
      </w:r>
      <w:r>
        <w:rPr>
          <w:rFonts w:hint="eastAsia" w:ascii="仿宋_GB2312" w:hAnsi="仿宋_GB2312" w:eastAsia="仿宋_GB2312" w:cs="仿宋_GB2312"/>
          <w:b/>
          <w:bCs/>
          <w:kern w:val="0"/>
          <w:sz w:val="28"/>
          <w:szCs w:val="24"/>
          <w:lang w:val="zh-CN"/>
        </w:rPr>
        <w:t>：</w:t>
      </w:r>
    </w:p>
    <w:p w14:paraId="226D3E43">
      <w:pPr>
        <w:pageBreakBefore w:val="0"/>
        <w:widowControl w:val="0"/>
        <w:numPr>
          <w:ilvl w:val="1"/>
          <w:numId w:val="0"/>
        </w:numPr>
        <w:tabs>
          <w:tab w:val="left" w:pos="900"/>
        </w:tabs>
        <w:kinsoku/>
        <w:wordWrap/>
        <w:overflowPunct w:val="0"/>
        <w:topLinePunct w:val="0"/>
        <w:bidi w:val="0"/>
        <w:adjustRightInd/>
        <w:snapToGrid/>
        <w:spacing w:before="0" w:afterLines="0" w:line="360" w:lineRule="auto"/>
        <w:ind w:left="0" w:firstLine="0" w:firstLineChars="0"/>
        <w:jc w:val="both"/>
        <w:rPr>
          <w:rFonts w:hint="default" w:ascii="仿宋" w:hAnsi="仿宋" w:eastAsia="仿宋" w:cs="仿宋"/>
          <w:b/>
          <w:kern w:val="44"/>
          <w:sz w:val="52"/>
          <w:szCs w:val="52"/>
          <w:highlight w:val="none"/>
          <w:lang w:bidi="ar"/>
        </w:rPr>
      </w:pPr>
    </w:p>
    <w:p w14:paraId="6A3D21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仿宋" w:hAnsi="仿宋" w:eastAsia="仿宋" w:cs="仿宋"/>
          <w:b/>
          <w:kern w:val="44"/>
          <w:sz w:val="52"/>
          <w:szCs w:val="52"/>
          <w:highlight w:val="none"/>
          <w:lang w:bidi="ar"/>
        </w:rPr>
      </w:pPr>
    </w:p>
    <w:p w14:paraId="0ACD453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仿宋" w:hAnsi="仿宋" w:eastAsia="仿宋" w:cs="仿宋"/>
          <w:b/>
          <w:kern w:val="44"/>
          <w:sz w:val="52"/>
          <w:szCs w:val="52"/>
          <w:highlight w:val="none"/>
          <w:lang w:bidi="ar"/>
        </w:rPr>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p>
    <w:bookmarkEnd w:id="281"/>
    <w:p w14:paraId="18C4D985">
      <w:pPr>
        <w:spacing w:line="360" w:lineRule="auto"/>
        <w:ind w:firstLine="420"/>
        <w:rPr>
          <w:sz w:val="24"/>
          <w:szCs w:val="28"/>
          <w:highlight w:val="none"/>
        </w:rPr>
      </w:pPr>
    </w:p>
    <w:p w14:paraId="41A6D777">
      <w:pPr>
        <w:spacing w:line="240" w:lineRule="auto"/>
        <w:jc w:val="center"/>
        <w:rPr>
          <w:rFonts w:ascii="Calibri" w:hAnsi="Calibri" w:eastAsia="黑体" w:cs="Times New Roman"/>
          <w:b w:val="0"/>
          <w:bCs w:val="0"/>
          <w:kern w:val="2"/>
          <w:sz w:val="21"/>
          <w:szCs w:val="21"/>
          <w:highlight w:val="none"/>
          <w:lang w:val="en-US" w:eastAsia="zh-CN" w:bidi="ar-SA"/>
        </w:rPr>
      </w:pPr>
      <w:r>
        <w:rPr>
          <w:rFonts w:ascii="Calibri" w:hAnsi="Calibri" w:eastAsia="黑体" w:cs="Times New Roman"/>
          <w:b w:val="0"/>
          <w:bCs w:val="0"/>
          <w:kern w:val="2"/>
          <w:sz w:val="21"/>
          <w:szCs w:val="21"/>
          <w:highlight w:val="none"/>
          <w:lang w:val="en-US" w:eastAsia="zh-CN" w:bidi="ar-SA"/>
        </w:rPr>
        <w:t>附件一：项目内容说明书</w:t>
      </w:r>
    </w:p>
    <w:p w14:paraId="385252F3">
      <w:pPr>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一、工作内容</w:t>
      </w:r>
    </w:p>
    <w:p w14:paraId="21C5BA8F">
      <w:pPr>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标段范围内的高边坡监测服务工作。</w:t>
      </w:r>
    </w:p>
    <w:p w14:paraId="05C20DF1">
      <w:pPr>
        <w:pStyle w:val="34"/>
        <w:autoSpaceDE w:val="0"/>
        <w:autoSpaceDN w:val="0"/>
        <w:spacing w:line="360" w:lineRule="auto"/>
        <w:ind w:firstLine="480" w:firstLineChars="200"/>
        <w:textAlignment w:val="bottom"/>
        <w:rPr>
          <w:rStyle w:val="25"/>
          <w:sz w:val="24"/>
        </w:rPr>
      </w:pPr>
      <w:r>
        <w:rPr>
          <w:rStyle w:val="25"/>
          <w:rFonts w:hint="eastAsia"/>
          <w:sz w:val="24"/>
        </w:rPr>
        <w:t>(1)按监测方案完成监测工作，主要包括但不限于以下监测内容：</w:t>
      </w:r>
    </w:p>
    <w:p w14:paraId="4CF935E4">
      <w:pPr>
        <w:pStyle w:val="34"/>
        <w:autoSpaceDE w:val="0"/>
        <w:autoSpaceDN w:val="0"/>
        <w:spacing w:line="360" w:lineRule="auto"/>
        <w:ind w:firstLine="480" w:firstLineChars="200"/>
        <w:textAlignment w:val="bottom"/>
        <w:rPr>
          <w:rStyle w:val="25"/>
          <w:sz w:val="24"/>
        </w:rPr>
      </w:pPr>
      <w:r>
        <w:rPr>
          <w:rStyle w:val="25"/>
          <w:rFonts w:hint="eastAsia"/>
          <w:sz w:val="24"/>
        </w:rPr>
        <w:t xml:space="preserve">a.滑坡治理区的坡体地表位移变形情况。 </w:t>
      </w:r>
    </w:p>
    <w:p w14:paraId="6E6F5759">
      <w:pPr>
        <w:pStyle w:val="34"/>
        <w:autoSpaceDE w:val="0"/>
        <w:autoSpaceDN w:val="0"/>
        <w:spacing w:line="360" w:lineRule="auto"/>
        <w:ind w:firstLine="480" w:firstLineChars="200"/>
        <w:textAlignment w:val="bottom"/>
        <w:rPr>
          <w:rStyle w:val="25"/>
          <w:sz w:val="24"/>
        </w:rPr>
      </w:pPr>
      <w:r>
        <w:rPr>
          <w:rStyle w:val="25"/>
          <w:rFonts w:hint="eastAsia"/>
          <w:sz w:val="24"/>
        </w:rPr>
        <w:t xml:space="preserve">b.抗滑桩桩顶位移、应力监测，目的为确认抗滑桩的受力情况。 </w:t>
      </w:r>
    </w:p>
    <w:p w14:paraId="42EB208B">
      <w:pPr>
        <w:pStyle w:val="34"/>
        <w:autoSpaceDE w:val="0"/>
        <w:autoSpaceDN w:val="0"/>
        <w:spacing w:line="360" w:lineRule="auto"/>
        <w:ind w:firstLine="480" w:firstLineChars="200"/>
        <w:textAlignment w:val="bottom"/>
        <w:rPr>
          <w:rStyle w:val="25"/>
          <w:sz w:val="24"/>
        </w:rPr>
      </w:pPr>
      <w:r>
        <w:rPr>
          <w:rStyle w:val="25"/>
          <w:rFonts w:hint="eastAsia"/>
          <w:sz w:val="24"/>
        </w:rPr>
        <w:t>c.</w:t>
      </w:r>
      <w:r>
        <w:rPr>
          <w:rStyle w:val="25"/>
          <w:sz w:val="24"/>
        </w:rPr>
        <w:t>深层位移（测斜）监测</w:t>
      </w:r>
      <w:r>
        <w:rPr>
          <w:rStyle w:val="25"/>
          <w:rFonts w:hint="eastAsia"/>
          <w:sz w:val="24"/>
        </w:rPr>
        <w:t xml:space="preserve">深部位移监测，目的为确认深层位移情况及滑动面深度。 </w:t>
      </w:r>
    </w:p>
    <w:p w14:paraId="09530CDF">
      <w:pPr>
        <w:pStyle w:val="34"/>
        <w:autoSpaceDE w:val="0"/>
        <w:autoSpaceDN w:val="0"/>
        <w:spacing w:line="360" w:lineRule="auto"/>
        <w:ind w:firstLine="480" w:firstLineChars="200"/>
        <w:textAlignment w:val="bottom"/>
        <w:rPr>
          <w:rStyle w:val="25"/>
          <w:sz w:val="24"/>
        </w:rPr>
      </w:pPr>
      <w:r>
        <w:rPr>
          <w:rStyle w:val="25"/>
          <w:rFonts w:hint="eastAsia"/>
          <w:sz w:val="24"/>
        </w:rPr>
        <w:t xml:space="preserve">d.地下水位变化情况，目的为确认滑坡体中的地下水位变化。 </w:t>
      </w:r>
    </w:p>
    <w:p w14:paraId="15C01B57">
      <w:pPr>
        <w:pStyle w:val="34"/>
        <w:autoSpaceDE w:val="0"/>
        <w:autoSpaceDN w:val="0"/>
        <w:spacing w:line="360" w:lineRule="auto"/>
        <w:ind w:firstLine="480" w:firstLineChars="200"/>
        <w:textAlignment w:val="bottom"/>
        <w:rPr>
          <w:rStyle w:val="25"/>
          <w:sz w:val="24"/>
        </w:rPr>
      </w:pPr>
      <w:r>
        <w:rPr>
          <w:rStyle w:val="25"/>
          <w:rFonts w:hint="eastAsia"/>
          <w:sz w:val="24"/>
        </w:rPr>
        <w:t>e.雨量监测，目的为确认滑坡区域的降雨情况。</w:t>
      </w:r>
    </w:p>
    <w:p w14:paraId="23B876B5">
      <w:pPr>
        <w:pStyle w:val="34"/>
        <w:autoSpaceDE w:val="0"/>
        <w:autoSpaceDN w:val="0"/>
        <w:spacing w:line="360" w:lineRule="auto"/>
        <w:ind w:firstLine="480" w:firstLineChars="200"/>
        <w:textAlignment w:val="bottom"/>
        <w:rPr>
          <w:rStyle w:val="25"/>
          <w:sz w:val="24"/>
        </w:rPr>
      </w:pPr>
      <w:r>
        <w:rPr>
          <w:rStyle w:val="25"/>
          <w:rFonts w:hint="eastAsia"/>
          <w:sz w:val="24"/>
        </w:rPr>
        <w:t>f.人工巡查，及时全面了解滑坡体的变形情况。</w:t>
      </w:r>
    </w:p>
    <w:p w14:paraId="5A898473">
      <w:pPr>
        <w:pStyle w:val="34"/>
        <w:autoSpaceDE w:val="0"/>
        <w:autoSpaceDN w:val="0"/>
        <w:spacing w:line="360" w:lineRule="auto"/>
        <w:ind w:firstLine="480" w:firstLineChars="200"/>
        <w:textAlignment w:val="bottom"/>
        <w:rPr>
          <w:rStyle w:val="25"/>
          <w:sz w:val="24"/>
        </w:rPr>
      </w:pPr>
      <w:r>
        <w:rPr>
          <w:rStyle w:val="25"/>
          <w:rFonts w:hint="eastAsia"/>
          <w:sz w:val="24"/>
        </w:rPr>
        <w:t>(2)工作大纲与实施细则</w:t>
      </w:r>
    </w:p>
    <w:p w14:paraId="53542A59">
      <w:pPr>
        <w:pStyle w:val="34"/>
        <w:autoSpaceDE w:val="0"/>
        <w:autoSpaceDN w:val="0"/>
        <w:spacing w:line="360" w:lineRule="auto"/>
        <w:ind w:firstLine="480" w:firstLineChars="200"/>
        <w:textAlignment w:val="bottom"/>
        <w:rPr>
          <w:rStyle w:val="25"/>
          <w:sz w:val="24"/>
        </w:rPr>
      </w:pPr>
      <w:r>
        <w:rPr>
          <w:rStyle w:val="25"/>
          <w:rFonts w:hint="eastAsia"/>
          <w:sz w:val="24"/>
        </w:rPr>
        <w:t>a.受托人应在合同签订后的14天内，向委托人提交监测工作大纲，28天内向委托人提交经专家审查后的监测实施方案。</w:t>
      </w:r>
    </w:p>
    <w:p w14:paraId="747EA1E5">
      <w:pPr>
        <w:pStyle w:val="34"/>
        <w:autoSpaceDE w:val="0"/>
        <w:autoSpaceDN w:val="0"/>
        <w:spacing w:line="360" w:lineRule="auto"/>
        <w:ind w:firstLine="480" w:firstLineChars="200"/>
        <w:textAlignment w:val="bottom"/>
        <w:rPr>
          <w:rStyle w:val="25"/>
          <w:sz w:val="24"/>
        </w:rPr>
      </w:pPr>
      <w:r>
        <w:rPr>
          <w:rStyle w:val="25"/>
          <w:rFonts w:hint="eastAsia"/>
          <w:sz w:val="24"/>
        </w:rPr>
        <w:t>b.在接到委托人发出的进场指令后，受托人应在现场建立监测项目部，并向现场派驻为实施监测服务的人员、设备及监测仪器。</w:t>
      </w:r>
    </w:p>
    <w:p w14:paraId="2F46A8D9">
      <w:pPr>
        <w:pStyle w:val="34"/>
        <w:autoSpaceDE w:val="0"/>
        <w:autoSpaceDN w:val="0"/>
        <w:spacing w:line="360" w:lineRule="auto"/>
        <w:ind w:firstLine="480" w:firstLineChars="200"/>
        <w:textAlignment w:val="bottom"/>
        <w:rPr>
          <w:rStyle w:val="25"/>
          <w:sz w:val="24"/>
        </w:rPr>
      </w:pPr>
      <w:r>
        <w:rPr>
          <w:rStyle w:val="25"/>
          <w:rFonts w:hint="eastAsia"/>
          <w:sz w:val="24"/>
        </w:rPr>
        <w:t>c.按委托人审查意见完善监测方案。</w:t>
      </w:r>
    </w:p>
    <w:p w14:paraId="7C91180A">
      <w:pPr>
        <w:pStyle w:val="34"/>
        <w:autoSpaceDE w:val="0"/>
        <w:autoSpaceDN w:val="0"/>
        <w:spacing w:line="360" w:lineRule="auto"/>
        <w:ind w:firstLine="480" w:firstLineChars="200"/>
        <w:textAlignment w:val="bottom"/>
        <w:rPr>
          <w:rStyle w:val="25"/>
          <w:sz w:val="24"/>
        </w:rPr>
      </w:pPr>
      <w:r>
        <w:rPr>
          <w:rStyle w:val="25"/>
          <w:rFonts w:hint="eastAsia"/>
          <w:sz w:val="24"/>
        </w:rPr>
        <w:t>d.根据施工的需要，及时安排监测人员到达施工现场开展监测及技术服务工作。</w:t>
      </w:r>
    </w:p>
    <w:p w14:paraId="77B49EC9">
      <w:pPr>
        <w:pStyle w:val="34"/>
        <w:autoSpaceDE w:val="0"/>
        <w:autoSpaceDN w:val="0"/>
        <w:spacing w:line="360" w:lineRule="auto"/>
        <w:ind w:firstLine="480" w:firstLineChars="200"/>
        <w:textAlignment w:val="bottom"/>
        <w:rPr>
          <w:rStyle w:val="25"/>
          <w:sz w:val="24"/>
        </w:rPr>
      </w:pPr>
      <w:r>
        <w:rPr>
          <w:rStyle w:val="25"/>
          <w:rFonts w:hint="eastAsia"/>
          <w:sz w:val="24"/>
        </w:rPr>
        <w:t>e.建立监测数据传输的通畅渠道，监测到异常数据时，及时反馈给委托人。</w:t>
      </w:r>
    </w:p>
    <w:p w14:paraId="3EA0DF12">
      <w:pPr>
        <w:pStyle w:val="34"/>
        <w:autoSpaceDE w:val="0"/>
        <w:autoSpaceDN w:val="0"/>
        <w:spacing w:line="360" w:lineRule="auto"/>
        <w:ind w:firstLine="480" w:firstLineChars="200"/>
        <w:textAlignment w:val="bottom"/>
        <w:rPr>
          <w:rStyle w:val="25"/>
          <w:sz w:val="24"/>
        </w:rPr>
      </w:pPr>
      <w:r>
        <w:rPr>
          <w:rStyle w:val="25"/>
          <w:rFonts w:hint="eastAsia"/>
          <w:sz w:val="24"/>
        </w:rPr>
        <w:t>（</w:t>
      </w:r>
      <w:r>
        <w:rPr>
          <w:rStyle w:val="25"/>
          <w:sz w:val="24"/>
        </w:rPr>
        <w:t>3</w:t>
      </w:r>
      <w:r>
        <w:rPr>
          <w:rStyle w:val="25"/>
          <w:rFonts w:hint="eastAsia"/>
          <w:sz w:val="24"/>
        </w:rPr>
        <w:t>）监测设备安装实施基本要求</w:t>
      </w:r>
    </w:p>
    <w:p w14:paraId="3F5E92F9">
      <w:pPr>
        <w:pStyle w:val="34"/>
        <w:autoSpaceDE w:val="0"/>
        <w:autoSpaceDN w:val="0"/>
        <w:spacing w:line="360" w:lineRule="auto"/>
        <w:ind w:firstLine="480" w:firstLineChars="200"/>
        <w:textAlignment w:val="bottom"/>
        <w:rPr>
          <w:rStyle w:val="25"/>
          <w:sz w:val="24"/>
        </w:rPr>
      </w:pPr>
      <w:r>
        <w:rPr>
          <w:rStyle w:val="25"/>
          <w:rFonts w:hint="eastAsia"/>
          <w:sz w:val="24"/>
        </w:rPr>
        <w:t>a.按照评审通过后的监测技术方案开展监测系统建设及设备外场安装工作。</w:t>
      </w:r>
      <w:r>
        <w:rPr>
          <w:rStyle w:val="25"/>
          <w:sz w:val="24"/>
        </w:rPr>
        <w:t xml:space="preserve"> </w:t>
      </w:r>
    </w:p>
    <w:p w14:paraId="4588518B">
      <w:pPr>
        <w:pStyle w:val="34"/>
        <w:autoSpaceDE w:val="0"/>
        <w:autoSpaceDN w:val="0"/>
        <w:spacing w:line="360" w:lineRule="auto"/>
        <w:ind w:firstLine="480" w:firstLineChars="200"/>
        <w:textAlignment w:val="bottom"/>
        <w:rPr>
          <w:rStyle w:val="25"/>
          <w:sz w:val="24"/>
        </w:rPr>
      </w:pPr>
      <w:r>
        <w:rPr>
          <w:rStyle w:val="25"/>
          <w:rFonts w:hint="eastAsia"/>
          <w:sz w:val="24"/>
        </w:rPr>
        <w:t>b.监测传感器设备应包括变形监测（地表水平位移、地表垂直位移、深层水平位移等）、环境监测（降雨量监测、水位监测等）、宏观图像监测（图像与视频监控等）、声光报警等设备。</w:t>
      </w:r>
      <w:r>
        <w:rPr>
          <w:rStyle w:val="25"/>
          <w:sz w:val="24"/>
        </w:rPr>
        <w:t xml:space="preserve"> </w:t>
      </w:r>
    </w:p>
    <w:p w14:paraId="156ED91E">
      <w:pPr>
        <w:pStyle w:val="34"/>
        <w:autoSpaceDE w:val="0"/>
        <w:autoSpaceDN w:val="0"/>
        <w:spacing w:line="360" w:lineRule="auto"/>
        <w:ind w:firstLine="480" w:firstLineChars="200"/>
        <w:textAlignment w:val="bottom"/>
        <w:rPr>
          <w:rStyle w:val="25"/>
          <w:sz w:val="24"/>
        </w:rPr>
      </w:pPr>
      <w:r>
        <w:rPr>
          <w:rStyle w:val="25"/>
          <w:rFonts w:hint="eastAsia"/>
          <w:sz w:val="24"/>
        </w:rPr>
        <w:t>c.保证监测系统与湖北交投集团公司建立的相关系统能实现互联互通。</w:t>
      </w:r>
      <w:r>
        <w:rPr>
          <w:rStyle w:val="25"/>
          <w:sz w:val="24"/>
        </w:rPr>
        <w:t xml:space="preserve"> </w:t>
      </w:r>
    </w:p>
    <w:p w14:paraId="31DDAC18">
      <w:pPr>
        <w:pStyle w:val="34"/>
        <w:autoSpaceDE w:val="0"/>
        <w:autoSpaceDN w:val="0"/>
        <w:spacing w:line="360" w:lineRule="auto"/>
        <w:ind w:firstLine="480" w:firstLineChars="200"/>
        <w:textAlignment w:val="bottom"/>
        <w:rPr>
          <w:rStyle w:val="25"/>
          <w:sz w:val="24"/>
        </w:rPr>
      </w:pPr>
      <w:r>
        <w:rPr>
          <w:rStyle w:val="25"/>
          <w:rFonts w:hint="eastAsia"/>
          <w:sz w:val="24"/>
        </w:rPr>
        <w:t>d.在外场设施建设前，受托人需对各种传感器及传输等设备进行检查，并提交检验合格证书，确保满足数据采集要求。外场设施建设完成后，立即开展系统数据联调联试，确保采集数据准确。</w:t>
      </w:r>
      <w:r>
        <w:rPr>
          <w:rStyle w:val="25"/>
          <w:sz w:val="24"/>
        </w:rPr>
        <w:t xml:space="preserve"> </w:t>
      </w:r>
    </w:p>
    <w:p w14:paraId="5C7C02CF">
      <w:pPr>
        <w:pStyle w:val="34"/>
        <w:autoSpaceDE w:val="0"/>
        <w:autoSpaceDN w:val="0"/>
        <w:spacing w:line="360" w:lineRule="auto"/>
        <w:ind w:firstLine="480" w:firstLineChars="200"/>
        <w:textAlignment w:val="bottom"/>
        <w:rPr>
          <w:rStyle w:val="25"/>
          <w:sz w:val="24"/>
        </w:rPr>
      </w:pPr>
      <w:r>
        <w:rPr>
          <w:rStyle w:val="25"/>
          <w:rFonts w:hint="eastAsia"/>
          <w:sz w:val="24"/>
        </w:rPr>
        <w:t>e.受托人应负责项目的外场设施用电、通信等运行设备建设，由此产生的费用含在签约合同价中，委托人不另行支付。</w:t>
      </w:r>
    </w:p>
    <w:p w14:paraId="5DB8D907">
      <w:pPr>
        <w:pStyle w:val="34"/>
        <w:autoSpaceDE w:val="0"/>
        <w:autoSpaceDN w:val="0"/>
        <w:spacing w:line="360" w:lineRule="auto"/>
        <w:ind w:firstLine="480" w:firstLineChars="200"/>
        <w:textAlignment w:val="bottom"/>
        <w:rPr>
          <w:rStyle w:val="25"/>
          <w:sz w:val="24"/>
        </w:rPr>
      </w:pPr>
      <w:r>
        <w:rPr>
          <w:rStyle w:val="25"/>
          <w:sz w:val="24"/>
        </w:rPr>
        <w:t>f</w:t>
      </w:r>
      <w:r>
        <w:rPr>
          <w:rStyle w:val="25"/>
          <w:rFonts w:hint="eastAsia"/>
          <w:sz w:val="24"/>
        </w:rPr>
        <w:t>.项目建设过程中，受托人应做好施工记录，及安全管理工作。</w:t>
      </w:r>
      <w:r>
        <w:rPr>
          <w:rStyle w:val="25"/>
          <w:sz w:val="24"/>
        </w:rPr>
        <w:t xml:space="preserve"> </w:t>
      </w:r>
    </w:p>
    <w:p w14:paraId="273375B5">
      <w:pPr>
        <w:pStyle w:val="34"/>
        <w:autoSpaceDE w:val="0"/>
        <w:autoSpaceDN w:val="0"/>
        <w:spacing w:line="360" w:lineRule="auto"/>
        <w:ind w:firstLine="480" w:firstLineChars="200"/>
        <w:textAlignment w:val="bottom"/>
        <w:rPr>
          <w:rStyle w:val="25"/>
          <w:sz w:val="24"/>
        </w:rPr>
      </w:pPr>
      <w:r>
        <w:rPr>
          <w:rStyle w:val="25"/>
          <w:sz w:val="24"/>
        </w:rPr>
        <w:t>g</w:t>
      </w:r>
      <w:r>
        <w:rPr>
          <w:rStyle w:val="25"/>
          <w:rFonts w:hint="eastAsia"/>
          <w:sz w:val="24"/>
        </w:rPr>
        <w:t>.项目建设过程中，受托人须接受委托人对项目实施情况的监督和管理。</w:t>
      </w:r>
    </w:p>
    <w:p w14:paraId="34216B5F">
      <w:pPr>
        <w:pStyle w:val="34"/>
        <w:autoSpaceDE w:val="0"/>
        <w:autoSpaceDN w:val="0"/>
        <w:spacing w:line="360" w:lineRule="auto"/>
        <w:ind w:firstLine="480" w:firstLineChars="200"/>
        <w:textAlignment w:val="bottom"/>
        <w:rPr>
          <w:rStyle w:val="25"/>
          <w:sz w:val="24"/>
        </w:rPr>
      </w:pPr>
      <w:r>
        <w:rPr>
          <w:rStyle w:val="25"/>
          <w:rFonts w:hint="eastAsia"/>
          <w:sz w:val="24"/>
        </w:rPr>
        <w:t>（</w:t>
      </w:r>
      <w:r>
        <w:rPr>
          <w:rStyle w:val="25"/>
          <w:sz w:val="24"/>
        </w:rPr>
        <w:t>4</w:t>
      </w:r>
      <w:r>
        <w:rPr>
          <w:rStyle w:val="25"/>
          <w:rFonts w:hint="eastAsia"/>
          <w:sz w:val="24"/>
        </w:rPr>
        <w:t xml:space="preserve">）监测系统调试与试运行 </w:t>
      </w:r>
    </w:p>
    <w:p w14:paraId="2544908F">
      <w:pPr>
        <w:pStyle w:val="34"/>
        <w:autoSpaceDE w:val="0"/>
        <w:autoSpaceDN w:val="0"/>
        <w:spacing w:line="360" w:lineRule="auto"/>
        <w:ind w:firstLine="480" w:firstLineChars="200"/>
        <w:textAlignment w:val="bottom"/>
        <w:rPr>
          <w:rStyle w:val="25"/>
          <w:sz w:val="24"/>
        </w:rPr>
      </w:pPr>
      <w:r>
        <w:rPr>
          <w:rStyle w:val="25"/>
          <w:rFonts w:hint="eastAsia"/>
          <w:sz w:val="24"/>
        </w:rPr>
        <w:t xml:space="preserve">监测设备安装完成后，应根据设计文件和产品技术文件进行调试与试运行，确保整个监测系统能够正常运行。 </w:t>
      </w:r>
    </w:p>
    <w:p w14:paraId="60A0CC3F">
      <w:pPr>
        <w:pStyle w:val="34"/>
        <w:autoSpaceDE w:val="0"/>
        <w:autoSpaceDN w:val="0"/>
        <w:spacing w:line="360" w:lineRule="auto"/>
        <w:ind w:firstLine="480" w:firstLineChars="200"/>
        <w:textAlignment w:val="bottom"/>
        <w:rPr>
          <w:rStyle w:val="25"/>
          <w:sz w:val="24"/>
        </w:rPr>
      </w:pPr>
      <w:r>
        <w:rPr>
          <w:rStyle w:val="25"/>
          <w:rFonts w:hint="eastAsia"/>
          <w:sz w:val="24"/>
        </w:rPr>
        <w:t>（</w:t>
      </w:r>
      <w:r>
        <w:rPr>
          <w:rStyle w:val="25"/>
          <w:sz w:val="24"/>
        </w:rPr>
        <w:t>5</w:t>
      </w:r>
      <w:r>
        <w:rPr>
          <w:rStyle w:val="25"/>
          <w:rFonts w:hint="eastAsia"/>
          <w:sz w:val="24"/>
        </w:rPr>
        <w:t xml:space="preserve">）监测系统验收 </w:t>
      </w:r>
    </w:p>
    <w:p w14:paraId="79AD8DB4">
      <w:pPr>
        <w:pStyle w:val="34"/>
        <w:autoSpaceDE w:val="0"/>
        <w:autoSpaceDN w:val="0"/>
        <w:spacing w:line="360" w:lineRule="auto"/>
        <w:ind w:firstLine="480" w:firstLineChars="200"/>
        <w:textAlignment w:val="bottom"/>
        <w:rPr>
          <w:rStyle w:val="25"/>
          <w:sz w:val="24"/>
        </w:rPr>
      </w:pPr>
      <w:r>
        <w:rPr>
          <w:rStyle w:val="25"/>
          <w:rFonts w:hint="eastAsia"/>
          <w:sz w:val="24"/>
        </w:rPr>
        <w:t>监测系统实施完成后，应组织验收。主要对所有外场的传感器、采集设备、传输设备、控制硬件以及系统软硬件协同工作性能进行检查，并对出具的第一份监测报告进行准确性验收。</w:t>
      </w:r>
    </w:p>
    <w:p w14:paraId="65814735">
      <w:pPr>
        <w:pStyle w:val="34"/>
        <w:autoSpaceDE w:val="0"/>
        <w:autoSpaceDN w:val="0"/>
        <w:spacing w:line="360" w:lineRule="auto"/>
        <w:ind w:firstLine="480" w:firstLineChars="200"/>
        <w:textAlignment w:val="bottom"/>
        <w:rPr>
          <w:rStyle w:val="25"/>
          <w:sz w:val="24"/>
        </w:rPr>
      </w:pPr>
      <w:r>
        <w:rPr>
          <w:rStyle w:val="25"/>
          <w:rFonts w:hint="eastAsia"/>
          <w:sz w:val="24"/>
        </w:rPr>
        <w:t>（6）监测成果报告</w:t>
      </w:r>
    </w:p>
    <w:p w14:paraId="639498D3">
      <w:pPr>
        <w:pStyle w:val="34"/>
        <w:autoSpaceDE w:val="0"/>
        <w:autoSpaceDN w:val="0"/>
        <w:spacing w:line="360" w:lineRule="auto"/>
        <w:ind w:firstLine="480" w:firstLineChars="200"/>
        <w:textAlignment w:val="bottom"/>
        <w:rPr>
          <w:rStyle w:val="25"/>
          <w:sz w:val="24"/>
        </w:rPr>
      </w:pPr>
      <w:r>
        <w:rPr>
          <w:rStyle w:val="25"/>
          <w:rFonts w:hint="eastAsia"/>
          <w:sz w:val="24"/>
        </w:rPr>
        <w:t>受托人应根据委托人要求，提供监测成果资料，具体要求如下：</w:t>
      </w:r>
    </w:p>
    <w:p w14:paraId="5402B5F0">
      <w:pPr>
        <w:pStyle w:val="34"/>
        <w:autoSpaceDE w:val="0"/>
        <w:autoSpaceDN w:val="0"/>
        <w:spacing w:line="360" w:lineRule="auto"/>
        <w:ind w:firstLine="480" w:firstLineChars="200"/>
        <w:textAlignment w:val="bottom"/>
        <w:rPr>
          <w:rStyle w:val="25"/>
          <w:sz w:val="24"/>
        </w:rPr>
      </w:pPr>
      <w:r>
        <w:rPr>
          <w:rStyle w:val="25"/>
          <w:sz w:val="24"/>
        </w:rPr>
        <w:t>a</w:t>
      </w:r>
      <w:r>
        <w:rPr>
          <w:rStyle w:val="25"/>
          <w:rFonts w:hint="eastAsia"/>
          <w:sz w:val="24"/>
        </w:rPr>
        <w:t>.按照监测进度，受托人需向委托人分阶段提交相应监测报告（电子或纸质监测报告签字盖章正式版），直至监测服务期结束。每月8日前提交上一月监测报告一份；每年1月前提供上一年监测报告一份，监测服务期结束后提交监测总结报告；出现异常时应及时提交紧急预警报告，开展人工检查复核，并提出紧急处置建议。</w:t>
      </w:r>
    </w:p>
    <w:p w14:paraId="59DC558A">
      <w:pPr>
        <w:spacing w:line="360" w:lineRule="auto"/>
        <w:ind w:firstLine="480" w:firstLineChars="200"/>
        <w:jc w:val="left"/>
        <w:rPr>
          <w:rStyle w:val="25"/>
          <w:rFonts w:hint="eastAsia"/>
          <w:sz w:val="24"/>
        </w:rPr>
      </w:pPr>
      <w:r>
        <w:rPr>
          <w:rStyle w:val="25"/>
          <w:rFonts w:hint="eastAsia"/>
          <w:sz w:val="24"/>
        </w:rPr>
        <w:t>b.全部存档监测报告的光盘两张(其中文字采用Word形式、表格采用Excel形式、图形采用DWG格式等绘制、数码照片存为jpg格式)。</w:t>
      </w:r>
    </w:p>
    <w:p w14:paraId="3ADE6EA8">
      <w:pPr>
        <w:spacing w:line="360" w:lineRule="auto"/>
        <w:ind w:firstLine="480" w:firstLineChars="200"/>
        <w:jc w:val="left"/>
        <w:rPr>
          <w:rStyle w:val="25"/>
          <w:rFonts w:hint="eastAsia"/>
          <w:sz w:val="24"/>
          <w:lang w:val="en-US" w:eastAsia="zh-CN"/>
        </w:rPr>
      </w:pPr>
      <w:r>
        <w:rPr>
          <w:rStyle w:val="25"/>
          <w:rFonts w:hint="eastAsia"/>
          <w:sz w:val="24"/>
          <w:lang w:eastAsia="zh-CN"/>
        </w:rPr>
        <w:t>（</w:t>
      </w:r>
      <w:r>
        <w:rPr>
          <w:rStyle w:val="25"/>
          <w:rFonts w:hint="eastAsia"/>
          <w:sz w:val="24"/>
          <w:lang w:val="en-US" w:eastAsia="zh-CN"/>
        </w:rPr>
        <w:t>7）检测边坡情况</w:t>
      </w:r>
    </w:p>
    <w:p w14:paraId="08FC18AD">
      <w:pPr>
        <w:spacing w:line="360" w:lineRule="auto"/>
        <w:ind w:firstLine="480" w:firstLineChars="200"/>
        <w:jc w:val="left"/>
        <w:rPr>
          <w:rStyle w:val="25"/>
          <w:rFonts w:hint="default"/>
          <w:sz w:val="24"/>
          <w:lang w:val="en-US" w:eastAsia="zh-CN"/>
        </w:rPr>
      </w:pPr>
      <w:r>
        <w:rPr>
          <w:rStyle w:val="25"/>
          <w:rFonts w:hint="eastAsia"/>
          <w:sz w:val="24"/>
          <w:lang w:val="en-US" w:eastAsia="zh-CN"/>
        </w:rPr>
        <w:t>见附录6  高边坡监测数量统计表。</w:t>
      </w:r>
    </w:p>
    <w:p w14:paraId="5DEE496A">
      <w:pPr>
        <w:spacing w:line="240" w:lineRule="auto"/>
        <w:ind w:firstLine="0" w:firstLineChars="0"/>
        <w:jc w:val="center"/>
        <w:rPr>
          <w:rFonts w:hint="default" w:ascii="Calibri" w:hAnsi="Calibri" w:eastAsia="黑体" w:cs="Times New Roman"/>
          <w:sz w:val="21"/>
          <w:szCs w:val="21"/>
          <w:highlight w:val="none"/>
        </w:rPr>
      </w:pPr>
    </w:p>
    <w:p w14:paraId="6E0A2302">
      <w:pPr>
        <w:widowControl/>
        <w:numPr>
          <w:ilvl w:val="0"/>
          <w:numId w:val="23"/>
        </w:numPr>
        <w:adjustRightInd/>
        <w:spacing w:line="240" w:lineRule="auto"/>
        <w:jc w:val="left"/>
        <w:textAlignment w:val="auto"/>
        <w:rPr>
          <w:rFonts w:hint="eastAsia" w:ascii="Times New Roman" w:hAnsi="Times New Roman"/>
          <w:b/>
          <w:sz w:val="24"/>
          <w:szCs w:val="24"/>
          <w:lang w:val="en-US" w:eastAsia="zh-CN"/>
        </w:rPr>
      </w:pPr>
      <w:r>
        <w:rPr>
          <w:rFonts w:hint="eastAsia" w:ascii="Times New Roman" w:hAnsi="Times New Roman"/>
          <w:b/>
          <w:sz w:val="24"/>
          <w:szCs w:val="24"/>
          <w:lang w:val="en-US" w:eastAsia="zh-CN"/>
        </w:rPr>
        <w:t>服务基本要求</w:t>
      </w:r>
    </w:p>
    <w:p w14:paraId="60E96141">
      <w:pPr>
        <w:widowControl/>
        <w:snapToGrid w:val="0"/>
        <w:spacing w:line="360" w:lineRule="auto"/>
        <w:ind w:firstLine="480" w:firstLineChars="200"/>
        <w:rPr>
          <w:rFonts w:hint="eastAsia"/>
          <w:sz w:val="24"/>
          <w:szCs w:val="28"/>
        </w:rPr>
      </w:pPr>
      <w:r>
        <w:rPr>
          <w:rFonts w:hint="eastAsia"/>
          <w:sz w:val="24"/>
          <w:szCs w:val="28"/>
        </w:rPr>
        <w:t>监测单位应本着精心组织、热情服务、一丝不苟的原则，根据合同的各项规定，严格执行国家和行业现行的标准、规范、规程，加强质量控制，履行监测服务，包括但不限于下列职责：</w:t>
      </w:r>
    </w:p>
    <w:p w14:paraId="499A1ECD">
      <w:pPr>
        <w:widowControl/>
        <w:snapToGrid w:val="0"/>
        <w:spacing w:line="360" w:lineRule="auto"/>
        <w:ind w:firstLine="480" w:firstLineChars="200"/>
        <w:rPr>
          <w:rFonts w:hint="eastAsia"/>
          <w:sz w:val="24"/>
          <w:szCs w:val="28"/>
        </w:rPr>
      </w:pPr>
      <w:r>
        <w:rPr>
          <w:rFonts w:hint="eastAsia"/>
          <w:sz w:val="24"/>
          <w:szCs w:val="28"/>
        </w:rPr>
        <w:t>（1）根据要求按时完成合同规定的工作内容；</w:t>
      </w:r>
    </w:p>
    <w:p w14:paraId="6DB049A4">
      <w:pPr>
        <w:widowControl/>
        <w:snapToGrid w:val="0"/>
        <w:spacing w:line="360" w:lineRule="auto"/>
        <w:ind w:firstLine="480" w:firstLineChars="200"/>
        <w:rPr>
          <w:rFonts w:hint="eastAsia"/>
          <w:sz w:val="24"/>
          <w:szCs w:val="28"/>
        </w:rPr>
      </w:pPr>
      <w:r>
        <w:rPr>
          <w:rFonts w:hint="eastAsia"/>
          <w:sz w:val="24"/>
          <w:szCs w:val="28"/>
        </w:rPr>
        <w:t>（2）客观、公正地开展监测、分析工作，不受任何干扰和影响，保证监测数据和分析结果的准确、有效；</w:t>
      </w:r>
    </w:p>
    <w:p w14:paraId="14E6927D">
      <w:pPr>
        <w:widowControl/>
        <w:snapToGrid w:val="0"/>
        <w:spacing w:line="360" w:lineRule="auto"/>
        <w:ind w:firstLine="480" w:firstLineChars="200"/>
        <w:rPr>
          <w:rFonts w:hint="eastAsia"/>
          <w:sz w:val="24"/>
          <w:szCs w:val="28"/>
        </w:rPr>
      </w:pPr>
      <w:r>
        <w:rPr>
          <w:rFonts w:hint="eastAsia"/>
          <w:sz w:val="24"/>
          <w:szCs w:val="28"/>
        </w:rPr>
        <w:t>（3）建立严密、完善、运行有效的质量保证体系。应按照有关规定对仪器设备进行正常维护，检定与校准；</w:t>
      </w:r>
    </w:p>
    <w:p w14:paraId="38051D9A">
      <w:pPr>
        <w:widowControl/>
        <w:snapToGrid w:val="0"/>
        <w:spacing w:line="360" w:lineRule="auto"/>
        <w:ind w:firstLine="480" w:firstLineChars="200"/>
        <w:rPr>
          <w:rFonts w:hint="eastAsia"/>
          <w:sz w:val="24"/>
          <w:szCs w:val="28"/>
        </w:rPr>
      </w:pPr>
      <w:r>
        <w:rPr>
          <w:rFonts w:hint="eastAsia"/>
          <w:sz w:val="24"/>
          <w:szCs w:val="28"/>
        </w:rPr>
        <w:t>（4）重视科技进步，不断提高业务水平，建立健全档案制度，保证档案齐备，原始记录和监测报告内容必须清晰、完整、规范。</w:t>
      </w:r>
    </w:p>
    <w:p w14:paraId="3A18563B">
      <w:pPr>
        <w:widowControl/>
        <w:snapToGrid w:val="0"/>
        <w:spacing w:line="360" w:lineRule="auto"/>
        <w:ind w:firstLine="480" w:firstLineChars="200"/>
        <w:rPr>
          <w:rFonts w:hint="eastAsia"/>
          <w:sz w:val="24"/>
          <w:szCs w:val="28"/>
        </w:rPr>
      </w:pPr>
      <w:r>
        <w:rPr>
          <w:rFonts w:hint="eastAsia"/>
          <w:sz w:val="24"/>
          <w:szCs w:val="28"/>
        </w:rPr>
        <w:t>（5）监测单位必须按照合同规定的形式、范围与内容履行与项目有关的监测服务，其具体内容见合同条款中有关规定。</w:t>
      </w:r>
    </w:p>
    <w:p w14:paraId="1B05AAC1">
      <w:pPr>
        <w:widowControl/>
        <w:snapToGrid w:val="0"/>
        <w:spacing w:line="360" w:lineRule="auto"/>
        <w:ind w:firstLine="480" w:firstLineChars="200"/>
        <w:rPr>
          <w:sz w:val="24"/>
          <w:szCs w:val="28"/>
        </w:rPr>
      </w:pPr>
      <w:r>
        <w:rPr>
          <w:rFonts w:hint="eastAsia"/>
          <w:sz w:val="24"/>
          <w:szCs w:val="28"/>
        </w:rPr>
        <w:t>（6）监测单位对监测成果及各种测试数据负有保密责任，监测单位不得将监测结果泄露给第三方</w:t>
      </w:r>
    </w:p>
    <w:p w14:paraId="717F9736">
      <w:pPr>
        <w:widowControl/>
        <w:snapToGrid w:val="0"/>
        <w:spacing w:line="360" w:lineRule="auto"/>
        <w:ind w:firstLine="480" w:firstLineChars="200"/>
        <w:rPr>
          <w:rFonts w:hint="eastAsia"/>
          <w:sz w:val="24"/>
          <w:szCs w:val="28"/>
        </w:rPr>
      </w:pPr>
      <w:r>
        <w:rPr>
          <w:rFonts w:hint="eastAsia"/>
          <w:sz w:val="24"/>
          <w:szCs w:val="28"/>
          <w:lang w:val="en-US" w:eastAsia="zh-CN"/>
        </w:rPr>
        <w:t>三</w:t>
      </w:r>
      <w:r>
        <w:rPr>
          <w:rFonts w:hint="eastAsia"/>
          <w:sz w:val="24"/>
          <w:szCs w:val="28"/>
        </w:rPr>
        <w:t>、 监测系统建设目标、设计原则及系统设计要求</w:t>
      </w:r>
    </w:p>
    <w:p w14:paraId="222AE9DC">
      <w:pPr>
        <w:widowControl/>
        <w:snapToGrid w:val="0"/>
        <w:spacing w:line="360" w:lineRule="auto"/>
        <w:ind w:firstLine="480" w:firstLineChars="200"/>
        <w:rPr>
          <w:sz w:val="24"/>
          <w:szCs w:val="28"/>
        </w:rPr>
      </w:pPr>
      <w:r>
        <w:rPr>
          <w:rFonts w:hint="eastAsia"/>
          <w:sz w:val="24"/>
          <w:szCs w:val="28"/>
        </w:rPr>
        <w:t>1.建设目标</w:t>
      </w:r>
    </w:p>
    <w:p w14:paraId="16ECF571">
      <w:pPr>
        <w:widowControl/>
        <w:snapToGrid w:val="0"/>
        <w:spacing w:line="360" w:lineRule="auto"/>
        <w:ind w:firstLine="480" w:firstLineChars="200"/>
        <w:rPr>
          <w:sz w:val="24"/>
          <w:szCs w:val="28"/>
        </w:rPr>
      </w:pPr>
      <w:r>
        <w:rPr>
          <w:rFonts w:hint="eastAsia"/>
          <w:sz w:val="24"/>
          <w:szCs w:val="28"/>
        </w:rPr>
        <w:t>（1）根据国家相关政策、规范标准要求，建立具备功能模块（基础数据、数据分析、告警管理、告警信息、设备管理、系统管理等相关监测必须模块）的监测预警平台。</w:t>
      </w:r>
    </w:p>
    <w:p w14:paraId="773531E7">
      <w:pPr>
        <w:widowControl/>
        <w:snapToGrid w:val="0"/>
        <w:spacing w:line="360" w:lineRule="auto"/>
        <w:ind w:firstLine="480" w:firstLineChars="200"/>
        <w:rPr>
          <w:sz w:val="24"/>
          <w:szCs w:val="28"/>
        </w:rPr>
      </w:pPr>
      <w:r>
        <w:rPr>
          <w:rFonts w:hint="eastAsia"/>
          <w:sz w:val="24"/>
          <w:szCs w:val="28"/>
        </w:rPr>
        <w:t>（2）实现边坡状态在线监测，超限报警功能。通过边坡监测数据及视频数据的实时传输，实现边坡状态实时在线监测、集中管理及展示。建立四级报警体系（蓝色、黄色、橙色、红色），实现对边坡状态实时监测数据进行超限报警。在崩塌体运营状况异常时及时触发报警信号，提醒相关人员关注崩塌体运营与安全状况，并采取合理的应对措施，消除边坡</w:t>
      </w:r>
      <w:r>
        <w:rPr>
          <w:sz w:val="24"/>
          <w:szCs w:val="28"/>
        </w:rPr>
        <w:t>监测数据超限报警状态。</w:t>
      </w:r>
    </w:p>
    <w:p w14:paraId="4BC51A47">
      <w:pPr>
        <w:widowControl/>
        <w:snapToGrid w:val="0"/>
        <w:spacing w:line="360" w:lineRule="auto"/>
        <w:ind w:firstLine="480" w:firstLineChars="200"/>
        <w:rPr>
          <w:sz w:val="24"/>
          <w:szCs w:val="28"/>
        </w:rPr>
      </w:pPr>
      <w:r>
        <w:rPr>
          <w:rFonts w:hint="eastAsia"/>
          <w:sz w:val="24"/>
          <w:szCs w:val="28"/>
        </w:rPr>
        <w:t>（3）根据监测相关的现行有效规范、标准及指南，并结合崩塌滑坡体环境、行车环境、边坡支护结构形式等特点合理制定边坡监测内容，监测内容应包括变形监测（地表水平位移、地表垂直位移、深层水平位移等）、环境监测（降雨量监测、水位监测等）、宏观图像监测（图像与视频监控等）、声光报警。</w:t>
      </w:r>
    </w:p>
    <w:p w14:paraId="7E7FD8F3">
      <w:pPr>
        <w:widowControl/>
        <w:snapToGrid w:val="0"/>
        <w:spacing w:line="360" w:lineRule="auto"/>
        <w:ind w:firstLine="480" w:firstLineChars="200"/>
        <w:rPr>
          <w:rFonts w:hint="eastAsia"/>
          <w:sz w:val="24"/>
          <w:szCs w:val="28"/>
        </w:rPr>
      </w:pPr>
      <w:r>
        <w:rPr>
          <w:rFonts w:hint="eastAsia"/>
          <w:sz w:val="24"/>
          <w:szCs w:val="28"/>
        </w:rPr>
        <w:t>（4）通过实时、连续的监测数据收集与分析，提前发现边坡状态的微小变化与异常迹象，及时预警潜在风险，保障边坡的施工安全，以及边坡所在路段安全通行能力。</w:t>
      </w:r>
    </w:p>
    <w:p w14:paraId="48FEEE7D">
      <w:pPr>
        <w:widowControl/>
        <w:snapToGrid w:val="0"/>
        <w:spacing w:line="360" w:lineRule="auto"/>
        <w:ind w:firstLine="480" w:firstLineChars="200"/>
        <w:rPr>
          <w:sz w:val="24"/>
          <w:szCs w:val="28"/>
        </w:rPr>
      </w:pPr>
      <w:r>
        <w:rPr>
          <w:rFonts w:hint="eastAsia"/>
          <w:sz w:val="24"/>
          <w:szCs w:val="28"/>
        </w:rPr>
        <w:t>（5）提供准确、全面的边坡稳定性数据，作为工程专项处治设计调整、施工方法优化和应急预案制定的科学依据，帮助边坡管养人员做出更加合理、高效的管理决策。</w:t>
      </w:r>
    </w:p>
    <w:p w14:paraId="72BEEEA7">
      <w:pPr>
        <w:widowControl/>
        <w:snapToGrid w:val="0"/>
        <w:spacing w:line="360" w:lineRule="auto"/>
        <w:ind w:firstLine="480" w:firstLineChars="200"/>
        <w:rPr>
          <w:rFonts w:hint="eastAsia"/>
          <w:sz w:val="24"/>
          <w:szCs w:val="28"/>
        </w:rPr>
      </w:pPr>
      <w:r>
        <w:rPr>
          <w:rFonts w:hint="eastAsia"/>
          <w:sz w:val="24"/>
          <w:szCs w:val="28"/>
        </w:rPr>
        <w:t>2.设计原则</w:t>
      </w:r>
    </w:p>
    <w:p w14:paraId="6A8C1FE3">
      <w:pPr>
        <w:widowControl/>
        <w:snapToGrid w:val="0"/>
        <w:spacing w:line="360" w:lineRule="auto"/>
        <w:ind w:firstLine="480" w:firstLineChars="200"/>
        <w:rPr>
          <w:rFonts w:hint="eastAsia"/>
          <w:sz w:val="24"/>
          <w:szCs w:val="28"/>
        </w:rPr>
      </w:pPr>
      <w:r>
        <w:rPr>
          <w:rFonts w:hint="eastAsia"/>
          <w:sz w:val="24"/>
          <w:szCs w:val="28"/>
        </w:rPr>
        <w:t>（1）立足需求：注重实际，立足边坡监测和报警需求；</w:t>
      </w:r>
    </w:p>
    <w:p w14:paraId="44F1DDCD">
      <w:pPr>
        <w:widowControl/>
        <w:snapToGrid w:val="0"/>
        <w:spacing w:line="360" w:lineRule="auto"/>
        <w:ind w:firstLine="480" w:firstLineChars="200"/>
        <w:rPr>
          <w:rFonts w:hint="eastAsia"/>
          <w:sz w:val="24"/>
          <w:szCs w:val="28"/>
        </w:rPr>
      </w:pPr>
      <w:r>
        <w:rPr>
          <w:rFonts w:hint="eastAsia"/>
          <w:sz w:val="24"/>
          <w:szCs w:val="28"/>
        </w:rPr>
        <w:t>（2）针对问题：针对边坡地质、支护结构特点、病害监测需求；</w:t>
      </w:r>
    </w:p>
    <w:p w14:paraId="1254EBDC">
      <w:pPr>
        <w:widowControl/>
        <w:snapToGrid w:val="0"/>
        <w:spacing w:line="360" w:lineRule="auto"/>
        <w:ind w:firstLine="480" w:firstLineChars="200"/>
        <w:rPr>
          <w:rFonts w:hint="eastAsia"/>
          <w:sz w:val="24"/>
          <w:szCs w:val="28"/>
        </w:rPr>
      </w:pPr>
      <w:r>
        <w:rPr>
          <w:rFonts w:hint="eastAsia"/>
          <w:sz w:val="24"/>
          <w:szCs w:val="28"/>
        </w:rPr>
        <w:t>（3）高效：功能与需求相匹配，职能增强，工作简化，运行流程化、管理精细化、决策科学化。系统分类清晰，引导性强，常用功能突出，界面简洁，使用便捷；</w:t>
      </w:r>
    </w:p>
    <w:p w14:paraId="3233EE7A">
      <w:pPr>
        <w:widowControl/>
        <w:snapToGrid w:val="0"/>
        <w:spacing w:line="360" w:lineRule="auto"/>
        <w:ind w:firstLine="480" w:firstLineChars="200"/>
        <w:rPr>
          <w:sz w:val="24"/>
          <w:szCs w:val="28"/>
        </w:rPr>
      </w:pPr>
      <w:r>
        <w:rPr>
          <w:rFonts w:hint="eastAsia"/>
          <w:sz w:val="24"/>
          <w:szCs w:val="28"/>
        </w:rPr>
        <w:t>（4）智慧：在视频、图像及数据监测、收集的基础上，智能数据分析，具有自动采集、自动判别、自动流转、自动应对、自动记录反馈和分类查询汇总等功能；</w:t>
      </w:r>
    </w:p>
    <w:p w14:paraId="77BDD19E">
      <w:pPr>
        <w:widowControl/>
        <w:snapToGrid w:val="0"/>
        <w:spacing w:line="360" w:lineRule="auto"/>
        <w:ind w:firstLine="480" w:firstLineChars="200"/>
        <w:rPr>
          <w:rFonts w:hint="eastAsia"/>
          <w:sz w:val="24"/>
          <w:szCs w:val="28"/>
        </w:rPr>
      </w:pPr>
      <w:r>
        <w:rPr>
          <w:rFonts w:hint="eastAsia"/>
          <w:sz w:val="24"/>
          <w:szCs w:val="28"/>
        </w:rPr>
        <w:t>（5）可靠：硬件可靠，软件稳定，数据本地化，系统运行常态化，系统维护轻量化；</w:t>
      </w:r>
    </w:p>
    <w:p w14:paraId="5F18DC2B">
      <w:pPr>
        <w:widowControl/>
        <w:snapToGrid w:val="0"/>
        <w:spacing w:line="360" w:lineRule="auto"/>
        <w:ind w:firstLine="480" w:firstLineChars="200"/>
        <w:rPr>
          <w:rFonts w:hint="eastAsia"/>
          <w:sz w:val="24"/>
          <w:szCs w:val="28"/>
        </w:rPr>
      </w:pPr>
      <w:r>
        <w:rPr>
          <w:rFonts w:hint="eastAsia"/>
          <w:sz w:val="24"/>
          <w:szCs w:val="28"/>
        </w:rPr>
        <w:t>（6）可扩展：具有后续扩展监测项目能力；</w:t>
      </w:r>
    </w:p>
    <w:p w14:paraId="03EDDBBD">
      <w:pPr>
        <w:widowControl/>
        <w:snapToGrid w:val="0"/>
        <w:spacing w:line="360" w:lineRule="auto"/>
        <w:ind w:firstLine="480" w:firstLineChars="200"/>
        <w:rPr>
          <w:sz w:val="24"/>
          <w:szCs w:val="28"/>
        </w:rPr>
      </w:pPr>
      <w:r>
        <w:rPr>
          <w:rFonts w:hint="eastAsia"/>
          <w:sz w:val="24"/>
          <w:szCs w:val="28"/>
        </w:rPr>
        <w:t>（7）兼容性：硬件选型通用兼容、耐久，数据传输格式符合部省要求，数据贮存格式开放、易导入导出，为将来的维护提供便利，为系统的升级预留空间。</w:t>
      </w:r>
    </w:p>
    <w:p w14:paraId="1F7BB887">
      <w:pPr>
        <w:widowControl/>
        <w:snapToGrid w:val="0"/>
        <w:spacing w:line="360" w:lineRule="auto"/>
        <w:ind w:firstLine="480" w:firstLineChars="200"/>
        <w:rPr>
          <w:rFonts w:hint="eastAsia"/>
          <w:sz w:val="24"/>
          <w:szCs w:val="28"/>
        </w:rPr>
      </w:pPr>
      <w:r>
        <w:rPr>
          <w:rFonts w:hint="eastAsia"/>
          <w:sz w:val="24"/>
          <w:szCs w:val="28"/>
          <w:lang w:val="en-US" w:eastAsia="zh-CN"/>
        </w:rPr>
        <w:t>四</w:t>
      </w:r>
      <w:r>
        <w:rPr>
          <w:rFonts w:hint="eastAsia"/>
          <w:sz w:val="24"/>
          <w:szCs w:val="28"/>
        </w:rPr>
        <w:t>、 监测实施要求</w:t>
      </w:r>
    </w:p>
    <w:p w14:paraId="68B28730">
      <w:pPr>
        <w:widowControl/>
        <w:snapToGrid w:val="0"/>
        <w:spacing w:line="360" w:lineRule="auto"/>
        <w:ind w:firstLine="480" w:firstLineChars="200"/>
        <w:rPr>
          <w:rFonts w:hint="eastAsia"/>
          <w:sz w:val="24"/>
          <w:szCs w:val="28"/>
        </w:rPr>
      </w:pPr>
      <w:r>
        <w:rPr>
          <w:rFonts w:hint="eastAsia"/>
          <w:sz w:val="24"/>
          <w:szCs w:val="28"/>
        </w:rPr>
        <w:t>（1）现场踏勘及资料收集应组织现场详细踏勘及航拍工作，完成边坡的地勘报告、设计图纸、 施工资料等资料收集工作。</w:t>
      </w:r>
    </w:p>
    <w:p w14:paraId="0CACA931">
      <w:pPr>
        <w:widowControl/>
        <w:snapToGrid w:val="0"/>
        <w:spacing w:line="360" w:lineRule="auto"/>
        <w:ind w:firstLine="480" w:firstLineChars="200"/>
        <w:rPr>
          <w:rFonts w:hint="eastAsia"/>
          <w:sz w:val="24"/>
          <w:szCs w:val="28"/>
        </w:rPr>
      </w:pPr>
      <w:r>
        <w:rPr>
          <w:rFonts w:hint="eastAsia"/>
          <w:sz w:val="24"/>
          <w:szCs w:val="28"/>
        </w:rPr>
        <w:t>（2）监测技术方案基于地勘报告、设计图纸等收集的资料，编制监测实施方案， 实施方案应包含监测内容、监测频率、监测阈值设置、预警等级设置、系统功能设计、人员配备、设备配置、进度计划、安全措施、质量保证等内容，并经专家审查通过后组织实施。</w:t>
      </w:r>
    </w:p>
    <w:p w14:paraId="094D6A26">
      <w:pPr>
        <w:widowControl/>
        <w:snapToGrid w:val="0"/>
        <w:spacing w:line="360" w:lineRule="auto"/>
        <w:ind w:firstLine="480" w:firstLineChars="200"/>
        <w:rPr>
          <w:rFonts w:hint="eastAsia"/>
          <w:sz w:val="24"/>
          <w:szCs w:val="28"/>
        </w:rPr>
      </w:pPr>
      <w:r>
        <w:rPr>
          <w:rFonts w:hint="eastAsia"/>
          <w:sz w:val="24"/>
          <w:szCs w:val="28"/>
        </w:rPr>
        <w:t>（3）监测设备安装实施基本要求</w:t>
      </w:r>
    </w:p>
    <w:p w14:paraId="2CE759E7">
      <w:pPr>
        <w:widowControl/>
        <w:snapToGrid w:val="0"/>
        <w:spacing w:line="360" w:lineRule="auto"/>
        <w:ind w:firstLine="480" w:firstLineChars="200"/>
        <w:rPr>
          <w:rFonts w:hint="eastAsia"/>
          <w:sz w:val="24"/>
          <w:szCs w:val="28"/>
        </w:rPr>
      </w:pPr>
      <w:r>
        <w:rPr>
          <w:rFonts w:hint="eastAsia"/>
          <w:sz w:val="24"/>
          <w:szCs w:val="28"/>
        </w:rPr>
        <w:t>a）按照评审通过后的监测技术方案开展监测系统建设及设备外场安装工作。</w:t>
      </w:r>
    </w:p>
    <w:p w14:paraId="601B1FFC">
      <w:pPr>
        <w:widowControl/>
        <w:snapToGrid w:val="0"/>
        <w:spacing w:line="360" w:lineRule="auto"/>
        <w:ind w:firstLine="480" w:firstLineChars="200"/>
        <w:rPr>
          <w:rFonts w:hint="eastAsia"/>
          <w:sz w:val="24"/>
          <w:szCs w:val="28"/>
        </w:rPr>
      </w:pPr>
      <w:r>
        <w:rPr>
          <w:rFonts w:hint="eastAsia"/>
          <w:sz w:val="24"/>
          <w:szCs w:val="28"/>
        </w:rPr>
        <w:t>b）监测传感器设备应包括变形监测（地表水平位移、地表垂直位移、深层水平位移监测等）、环境监测（降雨量监测、水位监测等）、宏观图像监测（图像与视频监控等）、声光报警等设备。</w:t>
      </w:r>
    </w:p>
    <w:p w14:paraId="26B2DD4C">
      <w:pPr>
        <w:widowControl/>
        <w:snapToGrid w:val="0"/>
        <w:spacing w:line="360" w:lineRule="auto"/>
        <w:ind w:firstLine="480" w:firstLineChars="200"/>
        <w:rPr>
          <w:rFonts w:hint="eastAsia"/>
          <w:sz w:val="24"/>
          <w:szCs w:val="28"/>
        </w:rPr>
      </w:pPr>
      <w:r>
        <w:rPr>
          <w:rFonts w:hint="eastAsia"/>
          <w:sz w:val="24"/>
          <w:szCs w:val="28"/>
        </w:rPr>
        <w:t>c） 保证监测系统与湖北交投集团公司建立的相关系统能实现互联互通。</w:t>
      </w:r>
    </w:p>
    <w:p w14:paraId="3EE7213B">
      <w:pPr>
        <w:widowControl/>
        <w:snapToGrid w:val="0"/>
        <w:spacing w:line="360" w:lineRule="auto"/>
        <w:ind w:firstLine="480" w:firstLineChars="200"/>
        <w:rPr>
          <w:rFonts w:hint="eastAsia"/>
          <w:sz w:val="24"/>
          <w:szCs w:val="28"/>
        </w:rPr>
      </w:pPr>
      <w:r>
        <w:rPr>
          <w:rFonts w:hint="eastAsia"/>
          <w:sz w:val="24"/>
          <w:szCs w:val="28"/>
        </w:rPr>
        <w:t>d）在外场设施建设前，中标人需对各种传感器及传输等设备进行检查，并提交检验合格证书，确保满足数据采集要求。外场设施建设完成后，立即开展系统数据联调联试，确保采集数据准确。</w:t>
      </w:r>
    </w:p>
    <w:p w14:paraId="57F764A4">
      <w:pPr>
        <w:widowControl/>
        <w:snapToGrid w:val="0"/>
        <w:spacing w:line="360" w:lineRule="auto"/>
        <w:ind w:firstLine="480" w:firstLineChars="200"/>
        <w:rPr>
          <w:rFonts w:hint="eastAsia"/>
          <w:sz w:val="24"/>
          <w:szCs w:val="28"/>
        </w:rPr>
      </w:pPr>
      <w:r>
        <w:rPr>
          <w:rFonts w:hint="eastAsia"/>
          <w:sz w:val="24"/>
          <w:szCs w:val="28"/>
        </w:rPr>
        <w:t>e）中标人应负责项目的外场设施用电、通信等运行设备建设，并协调解决服务期内相关运行费用。</w:t>
      </w:r>
    </w:p>
    <w:p w14:paraId="234B6850">
      <w:pPr>
        <w:widowControl/>
        <w:snapToGrid w:val="0"/>
        <w:spacing w:line="360" w:lineRule="auto"/>
        <w:ind w:firstLine="480" w:firstLineChars="200"/>
        <w:rPr>
          <w:rFonts w:hint="eastAsia"/>
          <w:sz w:val="24"/>
          <w:szCs w:val="28"/>
        </w:rPr>
      </w:pPr>
      <w:r>
        <w:rPr>
          <w:rFonts w:hint="eastAsia"/>
          <w:sz w:val="24"/>
          <w:szCs w:val="28"/>
        </w:rPr>
        <w:t>f）项目建设过程中，中标人应做好施工记录，及安全管理工作。</w:t>
      </w:r>
    </w:p>
    <w:p w14:paraId="68C4931B">
      <w:pPr>
        <w:widowControl/>
        <w:snapToGrid w:val="0"/>
        <w:spacing w:line="360" w:lineRule="auto"/>
        <w:ind w:firstLine="480" w:firstLineChars="200"/>
        <w:rPr>
          <w:rFonts w:hint="eastAsia"/>
          <w:sz w:val="24"/>
          <w:szCs w:val="28"/>
        </w:rPr>
      </w:pPr>
      <w:r>
        <w:rPr>
          <w:rFonts w:hint="eastAsia"/>
          <w:sz w:val="24"/>
          <w:szCs w:val="28"/>
        </w:rPr>
        <w:t>g）项目建设过程中，中标人须接受招标人对项目实施情况的监督和管理。</w:t>
      </w:r>
    </w:p>
    <w:p w14:paraId="4B47CFCE">
      <w:pPr>
        <w:widowControl/>
        <w:snapToGrid w:val="0"/>
        <w:spacing w:line="360" w:lineRule="auto"/>
        <w:ind w:firstLine="480" w:firstLineChars="200"/>
        <w:rPr>
          <w:rFonts w:hint="eastAsia"/>
          <w:sz w:val="24"/>
          <w:szCs w:val="28"/>
        </w:rPr>
      </w:pPr>
      <w:r>
        <w:rPr>
          <w:rFonts w:hint="eastAsia"/>
          <w:sz w:val="24"/>
          <w:szCs w:val="28"/>
        </w:rPr>
        <w:t>（ 4）监测系统调试与试运行</w:t>
      </w:r>
    </w:p>
    <w:p w14:paraId="62C180FC">
      <w:pPr>
        <w:widowControl/>
        <w:snapToGrid w:val="0"/>
        <w:spacing w:line="360" w:lineRule="auto"/>
        <w:ind w:firstLine="480" w:firstLineChars="200"/>
        <w:rPr>
          <w:rFonts w:hint="eastAsia"/>
          <w:sz w:val="24"/>
          <w:szCs w:val="28"/>
        </w:rPr>
      </w:pPr>
      <w:r>
        <w:rPr>
          <w:rFonts w:hint="eastAsia"/>
          <w:sz w:val="24"/>
          <w:szCs w:val="28"/>
        </w:rPr>
        <w:t>监测设备安装完成后，应根据设计文件和产品技术文件进行调试与试运行，确保整个监测系统能够正常运行。</w:t>
      </w:r>
    </w:p>
    <w:p w14:paraId="340EE1BC">
      <w:pPr>
        <w:widowControl/>
        <w:snapToGrid w:val="0"/>
        <w:spacing w:line="360" w:lineRule="auto"/>
        <w:ind w:firstLine="480" w:firstLineChars="200"/>
        <w:rPr>
          <w:rFonts w:hint="eastAsia"/>
          <w:sz w:val="24"/>
          <w:szCs w:val="28"/>
        </w:rPr>
      </w:pPr>
      <w:r>
        <w:rPr>
          <w:rFonts w:hint="eastAsia"/>
          <w:sz w:val="24"/>
          <w:szCs w:val="28"/>
        </w:rPr>
        <w:t>（5）监测系统验收</w:t>
      </w:r>
    </w:p>
    <w:p w14:paraId="42F3D0B3">
      <w:pPr>
        <w:widowControl/>
        <w:snapToGrid w:val="0"/>
        <w:spacing w:line="360" w:lineRule="auto"/>
        <w:ind w:firstLine="480" w:firstLineChars="200"/>
        <w:rPr>
          <w:rFonts w:hint="eastAsia"/>
          <w:sz w:val="24"/>
          <w:szCs w:val="28"/>
        </w:rPr>
      </w:pPr>
      <w:r>
        <w:rPr>
          <w:rFonts w:hint="eastAsia"/>
          <w:sz w:val="24"/>
          <w:szCs w:val="28"/>
        </w:rPr>
        <w:t>公路监测系统实施完成后，应组织验收。主要对所有外场的传感器、采集设备、传输设备、控制硬件以及系统软硬件协同工作性能进行检查，并对出具的第一份监测报告进行准确性验收。</w:t>
      </w:r>
    </w:p>
    <w:p w14:paraId="71C9800E">
      <w:pPr>
        <w:widowControl/>
        <w:snapToGrid w:val="0"/>
        <w:spacing w:line="360" w:lineRule="auto"/>
        <w:ind w:firstLine="480" w:firstLineChars="200"/>
        <w:rPr>
          <w:rFonts w:hint="eastAsia"/>
          <w:sz w:val="24"/>
          <w:szCs w:val="28"/>
        </w:rPr>
      </w:pPr>
      <w:r>
        <w:rPr>
          <w:rFonts w:hint="eastAsia"/>
          <w:sz w:val="24"/>
          <w:szCs w:val="28"/>
        </w:rPr>
        <w:t>（6）监测成果</w:t>
      </w:r>
    </w:p>
    <w:p w14:paraId="141975C3">
      <w:pPr>
        <w:widowControl/>
        <w:snapToGrid w:val="0"/>
        <w:spacing w:line="360" w:lineRule="auto"/>
        <w:ind w:firstLine="480" w:firstLineChars="200"/>
        <w:rPr>
          <w:rFonts w:hint="eastAsia"/>
          <w:sz w:val="24"/>
          <w:szCs w:val="28"/>
        </w:rPr>
      </w:pPr>
      <w:r>
        <w:rPr>
          <w:rFonts w:hint="eastAsia"/>
          <w:sz w:val="24"/>
          <w:szCs w:val="28"/>
        </w:rPr>
        <w:t>按照监测进度，乙方需向甲方分阶段提交相应监测报告（电子或纸质监测报告签字盖章正式版），直至监测服务期结束。每月提交上一月监测报告一份；每年提供上一年监测报告一份，监测服务期结束后提交监测总结报告；出现异常时应及时提交紧急预警报告，开展人工检查复核，并提出紧急处置建议。</w:t>
      </w:r>
    </w:p>
    <w:p w14:paraId="3716E06A">
      <w:pPr>
        <w:widowControl/>
        <w:snapToGrid w:val="0"/>
        <w:spacing w:line="360" w:lineRule="auto"/>
        <w:ind w:firstLine="480" w:firstLineChars="200"/>
        <w:rPr>
          <w:rFonts w:hint="eastAsia"/>
          <w:sz w:val="24"/>
          <w:szCs w:val="28"/>
        </w:rPr>
      </w:pPr>
      <w:r>
        <w:rPr>
          <w:rFonts w:hint="eastAsia"/>
          <w:sz w:val="24"/>
          <w:szCs w:val="28"/>
        </w:rPr>
        <w:t>（7）监测维护</w:t>
      </w:r>
    </w:p>
    <w:p w14:paraId="158B666B">
      <w:pPr>
        <w:widowControl/>
        <w:snapToGrid w:val="0"/>
        <w:spacing w:line="360" w:lineRule="auto"/>
        <w:ind w:firstLine="480" w:firstLineChars="200"/>
        <w:rPr>
          <w:rFonts w:hint="eastAsia"/>
          <w:sz w:val="24"/>
          <w:szCs w:val="28"/>
        </w:rPr>
      </w:pPr>
      <w:r>
        <w:rPr>
          <w:rFonts w:hint="eastAsia"/>
          <w:sz w:val="24"/>
          <w:szCs w:val="28"/>
        </w:rPr>
        <w:t>公路边坡监测系统应进行定期检查、维护，保证系统正常运行，具体要求如下：</w:t>
      </w:r>
    </w:p>
    <w:p w14:paraId="701D13ED">
      <w:pPr>
        <w:widowControl/>
        <w:snapToGrid w:val="0"/>
        <w:spacing w:line="360" w:lineRule="auto"/>
        <w:ind w:firstLine="480" w:firstLineChars="200"/>
        <w:rPr>
          <w:rFonts w:hint="eastAsia"/>
          <w:sz w:val="24"/>
          <w:szCs w:val="28"/>
        </w:rPr>
      </w:pPr>
      <w:r>
        <w:rPr>
          <w:rFonts w:hint="eastAsia"/>
          <w:sz w:val="24"/>
          <w:szCs w:val="28"/>
        </w:rPr>
        <w:t>a）系统整体验收完成后30日内，组织一次系统培训，培训对象面向滑坡体的管养单位、系统平台管理运营单位及招标人认可的相关单位的技术人员。</w:t>
      </w:r>
    </w:p>
    <w:p w14:paraId="6F9311BA">
      <w:pPr>
        <w:widowControl/>
        <w:snapToGrid w:val="0"/>
        <w:spacing w:line="360" w:lineRule="auto"/>
        <w:ind w:firstLine="480" w:firstLineChars="200"/>
        <w:rPr>
          <w:rFonts w:hint="eastAsia"/>
          <w:sz w:val="24"/>
          <w:szCs w:val="28"/>
        </w:rPr>
      </w:pPr>
      <w:r>
        <w:rPr>
          <w:rFonts w:hint="eastAsia"/>
          <w:sz w:val="24"/>
          <w:szCs w:val="28"/>
        </w:rPr>
        <w:t>b）系统平台调试与试运行结束后，乙方应提供试运行结束后3年的运维服务，包括系统外场硬件维护，系统平台及内场软硬件的运维服务，保证系统运行正常。</w:t>
      </w:r>
    </w:p>
    <w:p w14:paraId="0A35047F">
      <w:pPr>
        <w:widowControl/>
        <w:snapToGrid w:val="0"/>
        <w:spacing w:line="360" w:lineRule="auto"/>
        <w:ind w:firstLine="480" w:firstLineChars="200"/>
        <w:rPr>
          <w:rFonts w:hint="eastAsia"/>
          <w:sz w:val="24"/>
          <w:szCs w:val="28"/>
        </w:rPr>
      </w:pPr>
      <w:r>
        <w:rPr>
          <w:rFonts w:hint="eastAsia"/>
          <w:sz w:val="24"/>
          <w:szCs w:val="28"/>
        </w:rPr>
        <w:t>c）根据现场监测数据反馈，每月开展不少于1次的现场巡查工作。</w:t>
      </w:r>
    </w:p>
    <w:p w14:paraId="1B52B08D">
      <w:pPr>
        <w:widowControl/>
        <w:snapToGrid w:val="0"/>
        <w:spacing w:line="360" w:lineRule="auto"/>
        <w:ind w:firstLine="480" w:firstLineChars="200"/>
        <w:rPr>
          <w:rFonts w:hint="eastAsia"/>
          <w:sz w:val="24"/>
          <w:szCs w:val="28"/>
        </w:rPr>
      </w:pPr>
      <w:r>
        <w:rPr>
          <w:rFonts w:hint="eastAsia"/>
          <w:sz w:val="24"/>
          <w:szCs w:val="28"/>
        </w:rPr>
        <w:t>d）运维服务期内，保证除不可抗力外系统平台宕机时间每次少于24小时，年度宕机次数不多于5次。</w:t>
      </w:r>
    </w:p>
    <w:p w14:paraId="6F6A8156">
      <w:pPr>
        <w:widowControl/>
        <w:snapToGrid w:val="0"/>
        <w:spacing w:line="360" w:lineRule="auto"/>
        <w:ind w:firstLine="480" w:firstLineChars="200"/>
        <w:rPr>
          <w:rFonts w:hint="eastAsia"/>
          <w:sz w:val="24"/>
          <w:szCs w:val="28"/>
        </w:rPr>
      </w:pPr>
      <w:r>
        <w:rPr>
          <w:rFonts w:hint="eastAsia"/>
          <w:sz w:val="24"/>
          <w:szCs w:val="28"/>
        </w:rPr>
        <w:t>e）在监测服务期内，投标人应充分考虑滑坡体监测的合理需求，完成本项目相关软件或系统的升级、系统更换、迭代优化等。</w:t>
      </w:r>
    </w:p>
    <w:p w14:paraId="7EEA11A1">
      <w:pPr>
        <w:widowControl/>
        <w:snapToGrid w:val="0"/>
        <w:spacing w:line="360" w:lineRule="auto"/>
        <w:ind w:firstLine="480" w:firstLineChars="200"/>
        <w:rPr>
          <w:rFonts w:hint="eastAsia"/>
          <w:sz w:val="24"/>
          <w:szCs w:val="28"/>
        </w:rPr>
      </w:pPr>
      <w:r>
        <w:rPr>
          <w:rFonts w:hint="eastAsia"/>
          <w:sz w:val="24"/>
          <w:szCs w:val="28"/>
        </w:rPr>
        <w:t>f）应满足服务期内传感器年度完好率不低于95%，其中结构整体响应监测传感器年度完好率不低于95%，运维服务期结束移交时传感器完好率为100%。</w:t>
      </w:r>
    </w:p>
    <w:p w14:paraId="176ECA61">
      <w:pPr>
        <w:widowControl/>
        <w:snapToGrid w:val="0"/>
        <w:spacing w:line="360" w:lineRule="auto"/>
        <w:ind w:firstLine="480" w:firstLineChars="200"/>
        <w:rPr>
          <w:rFonts w:hint="eastAsia"/>
          <w:sz w:val="24"/>
          <w:szCs w:val="28"/>
        </w:rPr>
      </w:pPr>
      <w:r>
        <w:rPr>
          <w:rFonts w:hint="eastAsia"/>
          <w:sz w:val="24"/>
          <w:szCs w:val="28"/>
        </w:rPr>
        <w:t>g）实时掌控边坡状态，对于监测过程中出现的异常情况，应第一时间向建设单位进行反馈，确保建设单位及时收到相关情况并督促管养单位进行处置，并对处置情况进行跟踪，相关处置情况报告及时反馈招标人。</w:t>
      </w:r>
    </w:p>
    <w:p w14:paraId="12D3BE1D">
      <w:pPr>
        <w:widowControl/>
        <w:snapToGrid w:val="0"/>
        <w:spacing w:line="360" w:lineRule="auto"/>
        <w:ind w:firstLine="480" w:firstLineChars="200"/>
        <w:rPr>
          <w:rFonts w:hint="eastAsia"/>
          <w:sz w:val="24"/>
          <w:szCs w:val="28"/>
        </w:rPr>
      </w:pPr>
      <w:r>
        <w:rPr>
          <w:rFonts w:hint="eastAsia"/>
          <w:sz w:val="24"/>
          <w:szCs w:val="28"/>
        </w:rPr>
        <w:t>h）乙方应完全履行质保期责任，确保所有设备完好率100%。</w:t>
      </w:r>
    </w:p>
    <w:p w14:paraId="529C5B55">
      <w:pPr>
        <w:widowControl/>
        <w:snapToGrid w:val="0"/>
        <w:spacing w:line="360" w:lineRule="auto"/>
        <w:ind w:firstLine="480" w:firstLineChars="200"/>
        <w:rPr>
          <w:rFonts w:hint="eastAsia"/>
          <w:sz w:val="24"/>
          <w:szCs w:val="28"/>
        </w:rPr>
      </w:pPr>
      <w:r>
        <w:rPr>
          <w:rFonts w:hint="eastAsia"/>
          <w:sz w:val="24"/>
          <w:szCs w:val="28"/>
        </w:rPr>
        <w:t>i）监测服务期结束前15天内，由投标人配合招标人完成后续监测项目的软件历史数据移交及硬件实时监测数据接入工作。</w:t>
      </w:r>
    </w:p>
    <w:p w14:paraId="59B902B6">
      <w:pPr>
        <w:widowControl/>
        <w:snapToGrid w:val="0"/>
        <w:spacing w:line="360" w:lineRule="auto"/>
        <w:ind w:firstLine="480" w:firstLineChars="200"/>
        <w:rPr>
          <w:sz w:val="24"/>
          <w:szCs w:val="28"/>
        </w:rPr>
      </w:pPr>
      <w:r>
        <w:rPr>
          <w:rFonts w:hint="eastAsia"/>
          <w:sz w:val="24"/>
          <w:szCs w:val="28"/>
        </w:rPr>
        <w:t>j）监测服务期结束后，仍处在质保期内的监测设备， 投标人应配合招标人完成监测传感器设备的维护工作。</w:t>
      </w:r>
    </w:p>
    <w:p w14:paraId="52E12DEA">
      <w:pPr>
        <w:widowControl/>
        <w:snapToGrid w:val="0"/>
        <w:spacing w:line="360" w:lineRule="auto"/>
        <w:ind w:firstLine="480" w:firstLineChars="200"/>
        <w:rPr>
          <w:rFonts w:hint="eastAsia"/>
          <w:sz w:val="24"/>
          <w:szCs w:val="28"/>
        </w:rPr>
      </w:pPr>
      <w:r>
        <w:rPr>
          <w:rFonts w:hint="eastAsia"/>
          <w:sz w:val="24"/>
          <w:szCs w:val="28"/>
          <w:lang w:val="en-US" w:eastAsia="zh-CN"/>
        </w:rPr>
        <w:t>五</w:t>
      </w:r>
      <w:r>
        <w:rPr>
          <w:rFonts w:hint="eastAsia"/>
          <w:sz w:val="24"/>
          <w:szCs w:val="28"/>
        </w:rPr>
        <w:t>、 提供的仪器及设备要求</w:t>
      </w:r>
    </w:p>
    <w:p w14:paraId="60522FE5">
      <w:pPr>
        <w:widowControl/>
        <w:snapToGrid w:val="0"/>
        <w:spacing w:line="360" w:lineRule="auto"/>
        <w:ind w:firstLine="480" w:firstLineChars="200"/>
        <w:rPr>
          <w:sz w:val="24"/>
          <w:szCs w:val="28"/>
        </w:rPr>
      </w:pPr>
      <w:r>
        <w:rPr>
          <w:rFonts w:hint="eastAsia"/>
          <w:sz w:val="24"/>
          <w:szCs w:val="28"/>
        </w:rPr>
        <w:t>投标人选用的监测仪器应参考以下所列各监测设备的技术指标（服务履行期间，若部分技术指标确需调整的，由受托人向委托人提交调整技术指标的申请，经委托人批准后实施）。委托人有权对不满足品质和性能要求的设备进行更换，由此产生的费用含在监测服务费用中，委托人不另行支付。监测传感器设备主要技术要求：</w:t>
      </w:r>
    </w:p>
    <w:tbl>
      <w:tblPr>
        <w:tblStyle w:val="24"/>
        <w:tblW w:w="8300"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Layout w:type="fixed"/>
        <w:tblCellMar>
          <w:top w:w="0" w:type="dxa"/>
          <w:left w:w="0" w:type="dxa"/>
          <w:bottom w:w="0" w:type="dxa"/>
          <w:right w:w="0" w:type="dxa"/>
        </w:tblCellMar>
      </w:tblPr>
      <w:tblGrid>
        <w:gridCol w:w="520"/>
        <w:gridCol w:w="1162"/>
        <w:gridCol w:w="5898"/>
        <w:gridCol w:w="720"/>
      </w:tblGrid>
      <w:tr w14:paraId="689CF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0FB4F783">
            <w:pPr>
              <w:widowControl/>
              <w:snapToGrid w:val="0"/>
              <w:spacing w:line="360" w:lineRule="auto"/>
              <w:jc w:val="center"/>
              <w:rPr>
                <w:sz w:val="24"/>
                <w:szCs w:val="28"/>
              </w:rPr>
            </w:pPr>
            <w:r>
              <w:rPr>
                <w:sz w:val="24"/>
                <w:szCs w:val="28"/>
              </w:rPr>
              <w:t>序号</w:t>
            </w:r>
          </w:p>
        </w:tc>
        <w:tc>
          <w:tcPr>
            <w:tcW w:w="1162" w:type="dxa"/>
            <w:shd w:val="clear" w:color="auto" w:fill="FFFFFF" w:themeFill="background1"/>
            <w:vAlign w:val="center"/>
          </w:tcPr>
          <w:p w14:paraId="7B017784">
            <w:pPr>
              <w:widowControl/>
              <w:snapToGrid w:val="0"/>
              <w:spacing w:line="360" w:lineRule="auto"/>
              <w:jc w:val="center"/>
              <w:rPr>
                <w:sz w:val="24"/>
                <w:szCs w:val="28"/>
              </w:rPr>
            </w:pPr>
            <w:r>
              <w:rPr>
                <w:sz w:val="24"/>
                <w:szCs w:val="28"/>
              </w:rPr>
              <w:t>主要设</w:t>
            </w:r>
          </w:p>
          <w:p w14:paraId="0A74D68D">
            <w:pPr>
              <w:widowControl/>
              <w:snapToGrid w:val="0"/>
              <w:spacing w:line="360" w:lineRule="auto"/>
              <w:jc w:val="center"/>
              <w:rPr>
                <w:sz w:val="24"/>
                <w:szCs w:val="28"/>
              </w:rPr>
            </w:pPr>
            <w:r>
              <w:rPr>
                <w:sz w:val="24"/>
                <w:szCs w:val="28"/>
              </w:rPr>
              <w:t>备名称</w:t>
            </w:r>
          </w:p>
        </w:tc>
        <w:tc>
          <w:tcPr>
            <w:tcW w:w="6618" w:type="dxa"/>
            <w:gridSpan w:val="2"/>
            <w:shd w:val="clear" w:color="auto" w:fill="FFFFFF" w:themeFill="background1"/>
            <w:vAlign w:val="center"/>
          </w:tcPr>
          <w:p w14:paraId="7D16A247">
            <w:pPr>
              <w:widowControl/>
              <w:snapToGrid w:val="0"/>
              <w:spacing w:line="360" w:lineRule="auto"/>
              <w:jc w:val="center"/>
              <w:rPr>
                <w:sz w:val="24"/>
                <w:szCs w:val="28"/>
              </w:rPr>
            </w:pPr>
            <w:r>
              <w:rPr>
                <w:sz w:val="24"/>
                <w:szCs w:val="28"/>
              </w:rPr>
              <w:t>技术参数要求</w:t>
            </w:r>
          </w:p>
        </w:tc>
      </w:tr>
      <w:tr w14:paraId="2F95A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66902B0D">
            <w:pPr>
              <w:widowControl/>
              <w:snapToGrid w:val="0"/>
              <w:spacing w:line="360" w:lineRule="auto"/>
              <w:rPr>
                <w:sz w:val="24"/>
                <w:szCs w:val="28"/>
              </w:rPr>
            </w:pPr>
            <w:r>
              <w:rPr>
                <w:sz w:val="24"/>
                <w:szCs w:val="28"/>
              </w:rPr>
              <w:t>一</w:t>
            </w:r>
          </w:p>
        </w:tc>
        <w:tc>
          <w:tcPr>
            <w:tcW w:w="7780" w:type="dxa"/>
            <w:gridSpan w:val="3"/>
            <w:shd w:val="clear" w:color="auto" w:fill="FFFFFF" w:themeFill="background1"/>
            <w:vAlign w:val="center"/>
          </w:tcPr>
          <w:p w14:paraId="46BF1E55">
            <w:pPr>
              <w:widowControl/>
              <w:snapToGrid w:val="0"/>
              <w:spacing w:line="360" w:lineRule="auto"/>
              <w:rPr>
                <w:sz w:val="24"/>
                <w:szCs w:val="28"/>
              </w:rPr>
            </w:pPr>
            <w:r>
              <w:rPr>
                <w:sz w:val="24"/>
                <w:szCs w:val="28"/>
              </w:rPr>
              <w:t>一体化地表GNSS自动化监测基准站</w:t>
            </w:r>
          </w:p>
        </w:tc>
      </w:tr>
      <w:tr w14:paraId="4E8FC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073F572D">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1878BA93">
            <w:pPr>
              <w:widowControl/>
              <w:snapToGrid w:val="0"/>
              <w:spacing w:line="360" w:lineRule="auto"/>
              <w:rPr>
                <w:sz w:val="24"/>
                <w:szCs w:val="28"/>
              </w:rPr>
            </w:pPr>
            <w:r>
              <w:rPr>
                <w:sz w:val="24"/>
                <w:szCs w:val="28"/>
              </w:rPr>
              <w:t>地表</w:t>
            </w:r>
          </w:p>
          <w:p w14:paraId="20AF0E51">
            <w:pPr>
              <w:widowControl/>
              <w:snapToGrid w:val="0"/>
              <w:spacing w:line="360" w:lineRule="auto"/>
              <w:rPr>
                <w:sz w:val="24"/>
                <w:szCs w:val="28"/>
              </w:rPr>
            </w:pPr>
            <w:r>
              <w:rPr>
                <w:sz w:val="24"/>
                <w:szCs w:val="28"/>
              </w:rPr>
              <w:t>GNSS 监</w:t>
            </w:r>
          </w:p>
          <w:p w14:paraId="2AC82717">
            <w:pPr>
              <w:widowControl/>
              <w:snapToGrid w:val="0"/>
              <w:spacing w:line="360" w:lineRule="auto"/>
              <w:rPr>
                <w:sz w:val="24"/>
                <w:szCs w:val="28"/>
              </w:rPr>
            </w:pPr>
            <w:r>
              <w:rPr>
                <w:sz w:val="24"/>
                <w:szCs w:val="28"/>
              </w:rPr>
              <w:t>测基准</w:t>
            </w:r>
          </w:p>
          <w:p w14:paraId="6E0C70EA">
            <w:pPr>
              <w:widowControl/>
              <w:snapToGrid w:val="0"/>
              <w:spacing w:line="360" w:lineRule="auto"/>
              <w:rPr>
                <w:sz w:val="24"/>
                <w:szCs w:val="28"/>
              </w:rPr>
            </w:pPr>
            <w:r>
              <w:rPr>
                <w:sz w:val="24"/>
                <w:szCs w:val="28"/>
              </w:rPr>
              <w:t>站</w:t>
            </w:r>
          </w:p>
        </w:tc>
        <w:tc>
          <w:tcPr>
            <w:tcW w:w="6618" w:type="dxa"/>
            <w:gridSpan w:val="2"/>
            <w:shd w:val="clear" w:color="auto" w:fill="FFFFFF" w:themeFill="background1"/>
            <w:vAlign w:val="center"/>
          </w:tcPr>
          <w:p w14:paraId="51A9C6D5">
            <w:pPr>
              <w:widowControl/>
              <w:snapToGrid w:val="0"/>
              <w:spacing w:line="360" w:lineRule="auto"/>
              <w:rPr>
                <w:sz w:val="24"/>
                <w:szCs w:val="28"/>
              </w:rPr>
            </w:pPr>
            <w:r>
              <w:rPr>
                <w:sz w:val="24"/>
                <w:szCs w:val="28"/>
              </w:rPr>
              <w:t>(1) 测量精度：静态相对定位精度:水平：5mm+1ppm RMS；垂直：10mm+1ppm RMS动态相对定位精度:水平：10mm+1ppm RMS；垂直：20mm+1ppm RMS</w:t>
            </w:r>
          </w:p>
          <w:p w14:paraId="5C2F25C7">
            <w:pPr>
              <w:widowControl/>
              <w:snapToGrid w:val="0"/>
              <w:spacing w:line="360" w:lineRule="auto"/>
              <w:rPr>
                <w:sz w:val="24"/>
                <w:szCs w:val="28"/>
              </w:rPr>
            </w:pPr>
            <w:r>
              <w:rPr>
                <w:sz w:val="24"/>
                <w:szCs w:val="28"/>
              </w:rPr>
              <w:t>(2) 输出信号：NB-IoT/LoRa/α/4/5G；</w:t>
            </w:r>
          </w:p>
          <w:p w14:paraId="4D76D4F8">
            <w:pPr>
              <w:widowControl/>
              <w:snapToGrid w:val="0"/>
              <w:spacing w:line="360" w:lineRule="auto"/>
              <w:rPr>
                <w:sz w:val="24"/>
                <w:szCs w:val="28"/>
              </w:rPr>
            </w:pPr>
            <w:r>
              <w:rPr>
                <w:sz w:val="24"/>
                <w:szCs w:val="28"/>
              </w:rPr>
              <w:t>(3) 采样间隔：0s~24h(可按需求 设定)</w:t>
            </w:r>
          </w:p>
          <w:p w14:paraId="79CD1A38">
            <w:pPr>
              <w:widowControl/>
              <w:snapToGrid w:val="0"/>
              <w:spacing w:line="360" w:lineRule="auto"/>
              <w:rPr>
                <w:sz w:val="24"/>
                <w:szCs w:val="28"/>
              </w:rPr>
            </w:pPr>
            <w:r>
              <w:rPr>
                <w:sz w:val="24"/>
                <w:szCs w:val="28"/>
              </w:rPr>
              <w:t>(4) 上传间隔：0s~72h(可按需求 设定)</w:t>
            </w:r>
          </w:p>
          <w:p w14:paraId="33A0E654">
            <w:pPr>
              <w:widowControl/>
              <w:snapToGrid w:val="0"/>
              <w:spacing w:line="360" w:lineRule="auto"/>
              <w:rPr>
                <w:sz w:val="24"/>
                <w:szCs w:val="28"/>
              </w:rPr>
            </w:pPr>
            <w:r>
              <w:rPr>
                <w:sz w:val="24"/>
                <w:szCs w:val="28"/>
              </w:rPr>
              <w:t>(5) 输出参数：位移、倾角、振动加速度等</w:t>
            </w:r>
          </w:p>
          <w:p w14:paraId="4F742CB0">
            <w:pPr>
              <w:widowControl/>
              <w:snapToGrid w:val="0"/>
              <w:spacing w:line="360" w:lineRule="auto"/>
              <w:rPr>
                <w:sz w:val="24"/>
                <w:szCs w:val="28"/>
              </w:rPr>
            </w:pPr>
            <w:r>
              <w:rPr>
                <w:sz w:val="24"/>
                <w:szCs w:val="28"/>
              </w:rPr>
              <w:t>(6) 工作模式：BDS+GPS/双星四频以上，支持内置 MEMS 传感器动态触发调整监测频率</w:t>
            </w:r>
          </w:p>
          <w:p w14:paraId="5B249EF1">
            <w:pPr>
              <w:widowControl/>
              <w:snapToGrid w:val="0"/>
              <w:spacing w:line="360" w:lineRule="auto"/>
              <w:rPr>
                <w:sz w:val="24"/>
                <w:szCs w:val="28"/>
              </w:rPr>
            </w:pPr>
            <w:r>
              <w:rPr>
                <w:sz w:val="24"/>
                <w:szCs w:val="28"/>
              </w:rPr>
              <w:t>(7) 功耗：在采样间隔不低于15s且上传间隔不低于15s情况下，接收机正常工作的平均功耗&lt;2W</w:t>
            </w:r>
          </w:p>
          <w:p w14:paraId="1E6814F9">
            <w:pPr>
              <w:widowControl/>
              <w:snapToGrid w:val="0"/>
              <w:spacing w:line="360" w:lineRule="auto"/>
              <w:rPr>
                <w:sz w:val="24"/>
                <w:szCs w:val="28"/>
              </w:rPr>
            </w:pPr>
            <w:r>
              <w:rPr>
                <w:sz w:val="24"/>
                <w:szCs w:val="28"/>
              </w:rPr>
              <w:t>(8) 工作温度：-20~+65</w:t>
            </w:r>
            <w:r>
              <w:rPr>
                <w:rFonts w:ascii="Cambria Math" w:hAnsi="Cambria Math" w:cs="Cambria Math"/>
                <w:sz w:val="24"/>
                <w:szCs w:val="28"/>
              </w:rPr>
              <w:t>℃</w:t>
            </w:r>
          </w:p>
          <w:p w14:paraId="31C0115B">
            <w:pPr>
              <w:widowControl/>
              <w:snapToGrid w:val="0"/>
              <w:spacing w:line="360" w:lineRule="auto"/>
              <w:rPr>
                <w:sz w:val="24"/>
                <w:szCs w:val="28"/>
              </w:rPr>
            </w:pPr>
            <w:r>
              <w:rPr>
                <w:sz w:val="24"/>
                <w:szCs w:val="28"/>
              </w:rPr>
              <w:t>(9) 供电方式：按需供电方式，满足连续30个阴雨日正常工作(包括过压及欠压保护)</w:t>
            </w:r>
          </w:p>
          <w:p w14:paraId="1491B3FD">
            <w:pPr>
              <w:widowControl/>
              <w:snapToGrid w:val="0"/>
              <w:spacing w:line="360" w:lineRule="auto"/>
              <w:rPr>
                <w:sz w:val="24"/>
                <w:szCs w:val="28"/>
              </w:rPr>
            </w:pPr>
            <w:r>
              <w:rPr>
                <w:sz w:val="24"/>
                <w:szCs w:val="28"/>
              </w:rPr>
              <w:t>(10) 设备可靠性：MTBF指标不低于 10000小时</w:t>
            </w:r>
          </w:p>
        </w:tc>
      </w:tr>
      <w:tr w14:paraId="5B039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56C0AC03">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181FE1B9">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02264555">
            <w:pPr>
              <w:widowControl/>
              <w:snapToGrid w:val="0"/>
              <w:spacing w:line="360" w:lineRule="auto"/>
              <w:rPr>
                <w:sz w:val="24"/>
                <w:szCs w:val="28"/>
              </w:rPr>
            </w:pPr>
            <w:r>
              <w:rPr>
                <w:sz w:val="24"/>
                <w:szCs w:val="28"/>
              </w:rPr>
              <w:t>包含立杆、支架、线缆太阳能板等配 套设备和材料，防护等级：IP67 及以上。</w:t>
            </w:r>
          </w:p>
        </w:tc>
      </w:tr>
      <w:tr w14:paraId="3E9C8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7F775497">
            <w:pPr>
              <w:widowControl/>
              <w:snapToGrid w:val="0"/>
              <w:spacing w:line="360" w:lineRule="auto"/>
              <w:rPr>
                <w:sz w:val="24"/>
                <w:szCs w:val="28"/>
              </w:rPr>
            </w:pPr>
            <w:r>
              <w:rPr>
                <w:sz w:val="24"/>
                <w:szCs w:val="28"/>
              </w:rPr>
              <w:t>二</w:t>
            </w:r>
          </w:p>
        </w:tc>
        <w:tc>
          <w:tcPr>
            <w:tcW w:w="7060" w:type="dxa"/>
            <w:gridSpan w:val="2"/>
            <w:shd w:val="clear" w:color="auto" w:fill="FFFFFF" w:themeFill="background1"/>
            <w:vAlign w:val="center"/>
          </w:tcPr>
          <w:p w14:paraId="7C80E43B">
            <w:pPr>
              <w:widowControl/>
              <w:snapToGrid w:val="0"/>
              <w:spacing w:line="360" w:lineRule="auto"/>
              <w:rPr>
                <w:sz w:val="24"/>
                <w:szCs w:val="28"/>
              </w:rPr>
            </w:pPr>
            <w:r>
              <w:rPr>
                <w:sz w:val="24"/>
                <w:szCs w:val="28"/>
              </w:rPr>
              <w:t>一体化雨量自动化监测站（压电式）</w:t>
            </w:r>
          </w:p>
        </w:tc>
        <w:tc>
          <w:tcPr>
            <w:tcW w:w="720" w:type="dxa"/>
            <w:shd w:val="clear" w:color="auto" w:fill="FFFFFF" w:themeFill="background1"/>
            <w:vAlign w:val="center"/>
          </w:tcPr>
          <w:p w14:paraId="4E2D70F7">
            <w:pPr>
              <w:widowControl/>
              <w:snapToGrid w:val="0"/>
              <w:spacing w:line="360" w:lineRule="auto"/>
              <w:rPr>
                <w:sz w:val="24"/>
                <w:szCs w:val="28"/>
              </w:rPr>
            </w:pPr>
          </w:p>
        </w:tc>
      </w:tr>
      <w:tr w14:paraId="34F6D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16545DE1">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03E19483">
            <w:pPr>
              <w:widowControl/>
              <w:snapToGrid w:val="0"/>
              <w:spacing w:line="360" w:lineRule="auto"/>
              <w:rPr>
                <w:sz w:val="24"/>
                <w:szCs w:val="28"/>
              </w:rPr>
            </w:pPr>
            <w:r>
              <w:rPr>
                <w:sz w:val="24"/>
                <w:szCs w:val="28"/>
              </w:rPr>
              <w:t>雨量监测站</w:t>
            </w:r>
          </w:p>
        </w:tc>
        <w:tc>
          <w:tcPr>
            <w:tcW w:w="6618" w:type="dxa"/>
            <w:gridSpan w:val="2"/>
            <w:shd w:val="clear" w:color="auto" w:fill="FFFFFF" w:themeFill="background1"/>
            <w:vAlign w:val="center"/>
          </w:tcPr>
          <w:p w14:paraId="471F3DBA">
            <w:pPr>
              <w:widowControl/>
              <w:snapToGrid w:val="0"/>
              <w:spacing w:line="360" w:lineRule="auto"/>
              <w:rPr>
                <w:sz w:val="24"/>
                <w:szCs w:val="28"/>
              </w:rPr>
            </w:pPr>
            <w:r>
              <w:rPr>
                <w:sz w:val="24"/>
                <w:szCs w:val="28"/>
              </w:rPr>
              <w:t>（1）包含雨量计和数据采集传输、 太阳能供电、避雷等模块设备； （2）测量范围：0～8mm/min（毫米/ 分）</w:t>
            </w:r>
          </w:p>
          <w:p w14:paraId="03B88FA0">
            <w:pPr>
              <w:widowControl/>
              <w:snapToGrid w:val="0"/>
              <w:spacing w:line="360" w:lineRule="auto"/>
              <w:rPr>
                <w:sz w:val="24"/>
                <w:szCs w:val="28"/>
              </w:rPr>
            </w:pPr>
            <w:r>
              <w:rPr>
                <w:sz w:val="24"/>
                <w:szCs w:val="28"/>
              </w:rPr>
              <w:t xml:space="preserve">（3）测量精度：±4% </w:t>
            </w:r>
          </w:p>
          <w:p w14:paraId="15F91EDD">
            <w:pPr>
              <w:widowControl/>
              <w:snapToGrid w:val="0"/>
              <w:spacing w:line="360" w:lineRule="auto"/>
              <w:rPr>
                <w:sz w:val="24"/>
                <w:szCs w:val="28"/>
              </w:rPr>
            </w:pPr>
            <w:r>
              <w:rPr>
                <w:sz w:val="24"/>
                <w:szCs w:val="28"/>
              </w:rPr>
              <w:t xml:space="preserve">（4）分辨率：0.2mm </w:t>
            </w:r>
          </w:p>
          <w:p w14:paraId="50A768B1">
            <w:pPr>
              <w:widowControl/>
              <w:snapToGrid w:val="0"/>
              <w:spacing w:line="360" w:lineRule="auto"/>
              <w:rPr>
                <w:sz w:val="24"/>
                <w:szCs w:val="28"/>
              </w:rPr>
            </w:pPr>
            <w:r>
              <w:rPr>
                <w:sz w:val="24"/>
                <w:szCs w:val="28"/>
              </w:rPr>
              <w:t>（5）采样及上传间隔：0s～24h（可 按需求设定）</w:t>
            </w:r>
          </w:p>
          <w:p w14:paraId="48C8B9AE">
            <w:pPr>
              <w:widowControl/>
              <w:snapToGrid w:val="0"/>
              <w:spacing w:line="360" w:lineRule="auto"/>
              <w:rPr>
                <w:sz w:val="24"/>
                <w:szCs w:val="28"/>
              </w:rPr>
            </w:pPr>
            <w:r>
              <w:rPr>
                <w:sz w:val="24"/>
                <w:szCs w:val="28"/>
              </w:rPr>
              <w:t>（4）输出信号：RS485/NB-IoT/LoRa/ α/2/4/5G</w:t>
            </w:r>
          </w:p>
          <w:p w14:paraId="0828B072">
            <w:pPr>
              <w:widowControl/>
              <w:snapToGrid w:val="0"/>
              <w:spacing w:line="360" w:lineRule="auto"/>
              <w:rPr>
                <w:sz w:val="24"/>
                <w:szCs w:val="28"/>
              </w:rPr>
            </w:pPr>
            <w:r>
              <w:rPr>
                <w:sz w:val="24"/>
                <w:szCs w:val="28"/>
              </w:rPr>
              <w:t>（5）供电方式：满足连续 30 个阴雨 日正常工作（过压及欠压保护）</w:t>
            </w:r>
          </w:p>
        </w:tc>
      </w:tr>
      <w:tr w14:paraId="522F1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72BA332E">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3A38D652">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4EA30570">
            <w:pPr>
              <w:widowControl/>
              <w:snapToGrid w:val="0"/>
              <w:spacing w:line="360" w:lineRule="auto"/>
              <w:rPr>
                <w:sz w:val="24"/>
                <w:szCs w:val="28"/>
              </w:rPr>
            </w:pPr>
            <w:r>
              <w:rPr>
                <w:sz w:val="24"/>
                <w:szCs w:val="28"/>
              </w:rPr>
              <w:t>包含立杆、支架、线缆、太阳能板等配套设备和材料，其中配套外场机柜防护等级：IP65 及以上。</w:t>
            </w:r>
          </w:p>
        </w:tc>
      </w:tr>
      <w:tr w14:paraId="33C4E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49FA3017">
            <w:pPr>
              <w:widowControl/>
              <w:snapToGrid w:val="0"/>
              <w:spacing w:line="360" w:lineRule="auto"/>
              <w:rPr>
                <w:sz w:val="24"/>
                <w:szCs w:val="28"/>
              </w:rPr>
            </w:pPr>
            <w:r>
              <w:rPr>
                <w:sz w:val="24"/>
                <w:szCs w:val="28"/>
              </w:rPr>
              <w:t>三</w:t>
            </w:r>
          </w:p>
        </w:tc>
        <w:tc>
          <w:tcPr>
            <w:tcW w:w="7780" w:type="dxa"/>
            <w:gridSpan w:val="3"/>
            <w:shd w:val="clear" w:color="auto" w:fill="FFFFFF" w:themeFill="background1"/>
            <w:vAlign w:val="center"/>
          </w:tcPr>
          <w:p w14:paraId="31EBDE4F">
            <w:pPr>
              <w:widowControl/>
              <w:snapToGrid w:val="0"/>
              <w:spacing w:line="360" w:lineRule="auto"/>
              <w:rPr>
                <w:sz w:val="24"/>
                <w:szCs w:val="28"/>
              </w:rPr>
            </w:pPr>
            <w:r>
              <w:rPr>
                <w:sz w:val="24"/>
                <w:szCs w:val="28"/>
              </w:rPr>
              <w:t>地下水监测</w:t>
            </w:r>
          </w:p>
        </w:tc>
      </w:tr>
      <w:tr w14:paraId="5C464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49D4ED66">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0D0EFBEB">
            <w:pPr>
              <w:widowControl/>
              <w:snapToGrid w:val="0"/>
              <w:spacing w:line="360" w:lineRule="auto"/>
              <w:rPr>
                <w:sz w:val="24"/>
                <w:szCs w:val="28"/>
              </w:rPr>
            </w:pPr>
            <w:r>
              <w:rPr>
                <w:sz w:val="24"/>
                <w:szCs w:val="28"/>
              </w:rPr>
              <w:t>渗压计</w:t>
            </w:r>
          </w:p>
        </w:tc>
        <w:tc>
          <w:tcPr>
            <w:tcW w:w="6618" w:type="dxa"/>
            <w:gridSpan w:val="2"/>
            <w:shd w:val="clear" w:color="auto" w:fill="FFFFFF" w:themeFill="background1"/>
            <w:vAlign w:val="center"/>
          </w:tcPr>
          <w:p w14:paraId="29CF6DD7">
            <w:pPr>
              <w:widowControl/>
              <w:snapToGrid w:val="0"/>
              <w:spacing w:line="360" w:lineRule="auto"/>
              <w:rPr>
                <w:sz w:val="24"/>
                <w:szCs w:val="28"/>
              </w:rPr>
            </w:pPr>
            <w:r>
              <w:rPr>
                <w:sz w:val="24"/>
                <w:szCs w:val="28"/>
              </w:rPr>
              <w:t>（1）信号类型：振弦式</w:t>
            </w:r>
          </w:p>
          <w:p w14:paraId="7810A3CA">
            <w:pPr>
              <w:widowControl/>
              <w:snapToGrid w:val="0"/>
              <w:spacing w:line="360" w:lineRule="auto"/>
              <w:rPr>
                <w:sz w:val="24"/>
                <w:szCs w:val="28"/>
              </w:rPr>
            </w:pPr>
            <w:r>
              <w:rPr>
                <w:sz w:val="24"/>
                <w:szCs w:val="28"/>
              </w:rPr>
              <w:t>（2）输出量程：0~0.35MPa（可选）</w:t>
            </w:r>
          </w:p>
          <w:p w14:paraId="1D6A3B27">
            <w:pPr>
              <w:widowControl/>
              <w:snapToGrid w:val="0"/>
              <w:spacing w:line="360" w:lineRule="auto"/>
              <w:rPr>
                <w:sz w:val="24"/>
                <w:szCs w:val="28"/>
              </w:rPr>
            </w:pPr>
            <w:r>
              <w:rPr>
                <w:sz w:val="24"/>
                <w:szCs w:val="28"/>
              </w:rPr>
              <w:t>（3）分辨率：≤0.025%FS</w:t>
            </w:r>
          </w:p>
          <w:p w14:paraId="6ACF38E9">
            <w:pPr>
              <w:widowControl/>
              <w:snapToGrid w:val="0"/>
              <w:spacing w:line="360" w:lineRule="auto"/>
              <w:rPr>
                <w:sz w:val="24"/>
                <w:szCs w:val="28"/>
              </w:rPr>
            </w:pPr>
            <w:r>
              <w:rPr>
                <w:sz w:val="24"/>
                <w:szCs w:val="28"/>
              </w:rPr>
              <w:t>（4）拟合精度：≤0.1%FS</w:t>
            </w:r>
          </w:p>
          <w:p w14:paraId="3CFA4B11">
            <w:pPr>
              <w:widowControl/>
              <w:snapToGrid w:val="0"/>
              <w:spacing w:line="360" w:lineRule="auto"/>
              <w:rPr>
                <w:sz w:val="24"/>
                <w:szCs w:val="28"/>
              </w:rPr>
            </w:pPr>
            <w:r>
              <w:rPr>
                <w:sz w:val="24"/>
                <w:szCs w:val="28"/>
              </w:rPr>
              <w:t>（5）耐水压：测量范围1.5倍</w:t>
            </w:r>
          </w:p>
        </w:tc>
      </w:tr>
      <w:tr w14:paraId="5A5F7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16E39CD6">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1972F075">
            <w:pPr>
              <w:widowControl/>
              <w:snapToGrid w:val="0"/>
              <w:spacing w:line="360" w:lineRule="auto"/>
              <w:rPr>
                <w:sz w:val="24"/>
                <w:szCs w:val="28"/>
              </w:rPr>
            </w:pPr>
            <w:r>
              <w:rPr>
                <w:sz w:val="24"/>
                <w:szCs w:val="28"/>
              </w:rPr>
              <w:t>振弦数采仪</w:t>
            </w:r>
          </w:p>
        </w:tc>
        <w:tc>
          <w:tcPr>
            <w:tcW w:w="6618" w:type="dxa"/>
            <w:gridSpan w:val="2"/>
            <w:shd w:val="clear" w:color="auto" w:fill="FFFFFF" w:themeFill="background1"/>
            <w:vAlign w:val="center"/>
          </w:tcPr>
          <w:p w14:paraId="3670E256">
            <w:pPr>
              <w:widowControl/>
              <w:snapToGrid w:val="0"/>
              <w:spacing w:line="360" w:lineRule="auto"/>
              <w:rPr>
                <w:sz w:val="24"/>
                <w:szCs w:val="28"/>
              </w:rPr>
            </w:pPr>
            <w:r>
              <w:rPr>
                <w:sz w:val="24"/>
                <w:szCs w:val="28"/>
              </w:rPr>
              <w:t>（1）测量通道：8个，支持采集振弦、差阻、电流、电压、开关及数字量输出的传感器信号，传感器通道接入任意组合；</w:t>
            </w:r>
          </w:p>
          <w:p w14:paraId="12CF41C3">
            <w:pPr>
              <w:widowControl/>
              <w:snapToGrid w:val="0"/>
              <w:spacing w:line="360" w:lineRule="auto"/>
              <w:rPr>
                <w:sz w:val="24"/>
                <w:szCs w:val="28"/>
              </w:rPr>
            </w:pPr>
            <w:r>
              <w:rPr>
                <w:sz w:val="24"/>
                <w:szCs w:val="28"/>
              </w:rPr>
              <w:t>（2）满接传感器：4支～8支；</w:t>
            </w:r>
          </w:p>
          <w:p w14:paraId="2AD23FAE">
            <w:pPr>
              <w:widowControl/>
              <w:snapToGrid w:val="0"/>
              <w:spacing w:line="360" w:lineRule="auto"/>
              <w:rPr>
                <w:sz w:val="24"/>
                <w:szCs w:val="28"/>
              </w:rPr>
            </w:pPr>
            <w:r>
              <w:rPr>
                <w:sz w:val="24"/>
                <w:szCs w:val="28"/>
              </w:rPr>
              <w:t>（3）数据存贮：4×30000条；</w:t>
            </w:r>
          </w:p>
          <w:p w14:paraId="7BD1827B">
            <w:pPr>
              <w:widowControl/>
              <w:snapToGrid w:val="0"/>
              <w:spacing w:line="360" w:lineRule="auto"/>
              <w:rPr>
                <w:sz w:val="24"/>
                <w:szCs w:val="28"/>
              </w:rPr>
            </w:pPr>
            <w:r>
              <w:rPr>
                <w:sz w:val="24"/>
                <w:szCs w:val="28"/>
              </w:rPr>
              <w:t>（4）通讯方式：4G、RS485、蓝牙；</w:t>
            </w:r>
          </w:p>
          <w:p w14:paraId="24F12039">
            <w:pPr>
              <w:widowControl/>
              <w:snapToGrid w:val="0"/>
              <w:spacing w:line="360" w:lineRule="auto"/>
              <w:rPr>
                <w:sz w:val="24"/>
                <w:szCs w:val="28"/>
              </w:rPr>
            </w:pPr>
            <w:r>
              <w:rPr>
                <w:sz w:val="24"/>
                <w:szCs w:val="28"/>
              </w:rPr>
              <w:t>（5）智能识别：1600米信息识别；</w:t>
            </w:r>
          </w:p>
          <w:p w14:paraId="4CCB8B30">
            <w:pPr>
              <w:widowControl/>
              <w:snapToGrid w:val="0"/>
              <w:spacing w:line="360" w:lineRule="auto"/>
              <w:rPr>
                <w:sz w:val="24"/>
                <w:szCs w:val="28"/>
              </w:rPr>
            </w:pPr>
            <w:r>
              <w:rPr>
                <w:sz w:val="24"/>
                <w:szCs w:val="28"/>
              </w:rPr>
              <w:t>（6）智能诊断：1600米故障诊断；</w:t>
            </w:r>
          </w:p>
          <w:p w14:paraId="29ABAEAF">
            <w:pPr>
              <w:widowControl/>
              <w:snapToGrid w:val="0"/>
              <w:spacing w:line="360" w:lineRule="auto"/>
              <w:rPr>
                <w:sz w:val="24"/>
                <w:szCs w:val="28"/>
              </w:rPr>
            </w:pPr>
            <w:r>
              <w:rPr>
                <w:sz w:val="24"/>
                <w:szCs w:val="28"/>
              </w:rPr>
              <w:t>（7）输出电压：12V/15V；</w:t>
            </w:r>
          </w:p>
          <w:p w14:paraId="4BB9D2CD">
            <w:pPr>
              <w:widowControl/>
              <w:snapToGrid w:val="0"/>
              <w:spacing w:line="360" w:lineRule="auto"/>
              <w:rPr>
                <w:sz w:val="24"/>
                <w:szCs w:val="28"/>
              </w:rPr>
            </w:pPr>
            <w:r>
              <w:rPr>
                <w:sz w:val="24"/>
                <w:szCs w:val="28"/>
              </w:rPr>
              <w:t>（8）储存湿度：80%RH；</w:t>
            </w:r>
          </w:p>
          <w:p w14:paraId="338340C3">
            <w:pPr>
              <w:widowControl/>
              <w:snapToGrid w:val="0"/>
              <w:spacing w:line="360" w:lineRule="auto"/>
              <w:rPr>
                <w:sz w:val="24"/>
                <w:szCs w:val="28"/>
              </w:rPr>
            </w:pPr>
            <w:r>
              <w:rPr>
                <w:sz w:val="24"/>
                <w:szCs w:val="28"/>
              </w:rPr>
              <w:t>（9）储存温度：-30</w:t>
            </w:r>
            <w:r>
              <w:rPr>
                <w:rFonts w:ascii="Cambria Math" w:hAnsi="Cambria Math" w:cs="Cambria Math"/>
                <w:sz w:val="24"/>
                <w:szCs w:val="28"/>
              </w:rPr>
              <w:t>℃</w:t>
            </w:r>
            <w:r>
              <w:rPr>
                <w:sz w:val="24"/>
                <w:szCs w:val="28"/>
              </w:rPr>
              <w:t>～+70</w:t>
            </w:r>
            <w:r>
              <w:rPr>
                <w:rFonts w:ascii="Cambria Math" w:hAnsi="Cambria Math" w:cs="Cambria Math"/>
                <w:sz w:val="24"/>
                <w:szCs w:val="28"/>
              </w:rPr>
              <w:t>℃</w:t>
            </w:r>
            <w:r>
              <w:rPr>
                <w:sz w:val="24"/>
                <w:szCs w:val="28"/>
              </w:rPr>
              <w:t>。</w:t>
            </w:r>
          </w:p>
        </w:tc>
      </w:tr>
      <w:tr w14:paraId="441A1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66145D5D">
            <w:pPr>
              <w:widowControl/>
              <w:snapToGrid w:val="0"/>
              <w:spacing w:line="360" w:lineRule="auto"/>
              <w:rPr>
                <w:sz w:val="24"/>
                <w:szCs w:val="28"/>
              </w:rPr>
            </w:pPr>
            <w:r>
              <w:rPr>
                <w:sz w:val="24"/>
                <w:szCs w:val="28"/>
              </w:rPr>
              <w:t>3</w:t>
            </w:r>
          </w:p>
        </w:tc>
        <w:tc>
          <w:tcPr>
            <w:tcW w:w="1162" w:type="dxa"/>
            <w:shd w:val="clear" w:color="auto" w:fill="FFFFFF" w:themeFill="background1"/>
            <w:vAlign w:val="center"/>
          </w:tcPr>
          <w:p w14:paraId="5AE849D6">
            <w:pPr>
              <w:widowControl/>
              <w:snapToGrid w:val="0"/>
              <w:spacing w:line="360" w:lineRule="auto"/>
              <w:rPr>
                <w:sz w:val="24"/>
                <w:szCs w:val="28"/>
              </w:rPr>
            </w:pPr>
            <w:r>
              <w:rPr>
                <w:sz w:val="24"/>
                <w:szCs w:val="28"/>
              </w:rPr>
              <w:t>土壤含水率计</w:t>
            </w:r>
          </w:p>
        </w:tc>
        <w:tc>
          <w:tcPr>
            <w:tcW w:w="6618" w:type="dxa"/>
            <w:gridSpan w:val="2"/>
            <w:shd w:val="clear" w:color="auto" w:fill="FFFFFF" w:themeFill="background1"/>
            <w:vAlign w:val="center"/>
          </w:tcPr>
          <w:p w14:paraId="6FC2E2DB">
            <w:pPr>
              <w:widowControl/>
              <w:snapToGrid w:val="0"/>
              <w:spacing w:line="360" w:lineRule="auto"/>
              <w:rPr>
                <w:sz w:val="24"/>
                <w:szCs w:val="28"/>
              </w:rPr>
            </w:pPr>
            <w:r>
              <w:rPr>
                <w:sz w:val="24"/>
                <w:szCs w:val="28"/>
              </w:rPr>
              <w:t>（1）测量范围：干土～饱和土</w:t>
            </w:r>
          </w:p>
          <w:p w14:paraId="389B955F">
            <w:pPr>
              <w:widowControl/>
              <w:snapToGrid w:val="0"/>
              <w:spacing w:line="360" w:lineRule="auto"/>
              <w:rPr>
                <w:sz w:val="24"/>
                <w:szCs w:val="28"/>
              </w:rPr>
            </w:pPr>
            <w:r>
              <w:rPr>
                <w:sz w:val="24"/>
                <w:szCs w:val="28"/>
              </w:rPr>
              <w:t>（2）量程：0-100%（体积含水率）</w:t>
            </w:r>
          </w:p>
          <w:p w14:paraId="5A24D342">
            <w:pPr>
              <w:widowControl/>
              <w:snapToGrid w:val="0"/>
              <w:spacing w:line="360" w:lineRule="auto"/>
              <w:rPr>
                <w:sz w:val="24"/>
                <w:szCs w:val="28"/>
              </w:rPr>
            </w:pPr>
            <w:r>
              <w:rPr>
                <w:sz w:val="24"/>
                <w:szCs w:val="28"/>
              </w:rPr>
              <w:t>（3）精度：直接测量时不低于3%，经现场取样测定体积含水率和质量含水率的对应关系进行校正时精度不低于0.5%</w:t>
            </w:r>
          </w:p>
          <w:p w14:paraId="4A497260">
            <w:pPr>
              <w:widowControl/>
              <w:snapToGrid w:val="0"/>
              <w:spacing w:line="360" w:lineRule="auto"/>
              <w:rPr>
                <w:sz w:val="24"/>
                <w:szCs w:val="28"/>
              </w:rPr>
            </w:pPr>
            <w:r>
              <w:rPr>
                <w:sz w:val="24"/>
                <w:szCs w:val="28"/>
              </w:rPr>
              <w:t>（4）数据接口：RS485、GPRS无线通讯</w:t>
            </w:r>
          </w:p>
          <w:p w14:paraId="6C48F54E">
            <w:pPr>
              <w:widowControl/>
              <w:snapToGrid w:val="0"/>
              <w:spacing w:line="360" w:lineRule="auto"/>
              <w:rPr>
                <w:sz w:val="24"/>
                <w:szCs w:val="28"/>
              </w:rPr>
            </w:pPr>
            <w:r>
              <w:rPr>
                <w:sz w:val="24"/>
                <w:szCs w:val="28"/>
              </w:rPr>
              <w:t>（5）工作温度：-40</w:t>
            </w:r>
            <w:r>
              <w:rPr>
                <w:rFonts w:ascii="Cambria Math" w:hAnsi="Cambria Math" w:cs="Cambria Math"/>
                <w:sz w:val="24"/>
                <w:szCs w:val="28"/>
              </w:rPr>
              <w:t>℃</w:t>
            </w:r>
            <w:r>
              <w:rPr>
                <w:sz w:val="24"/>
                <w:szCs w:val="28"/>
              </w:rPr>
              <w:t>~+80</w:t>
            </w:r>
            <w:r>
              <w:rPr>
                <w:rFonts w:ascii="Cambria Math" w:hAnsi="Cambria Math" w:cs="Cambria Math"/>
                <w:sz w:val="24"/>
                <w:szCs w:val="28"/>
              </w:rPr>
              <w:t>℃</w:t>
            </w:r>
          </w:p>
        </w:tc>
      </w:tr>
      <w:tr w14:paraId="0AA38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725962D4">
            <w:pPr>
              <w:widowControl/>
              <w:snapToGrid w:val="0"/>
              <w:spacing w:line="360" w:lineRule="auto"/>
              <w:rPr>
                <w:sz w:val="24"/>
                <w:szCs w:val="28"/>
              </w:rPr>
            </w:pPr>
            <w:r>
              <w:rPr>
                <w:sz w:val="24"/>
                <w:szCs w:val="28"/>
              </w:rPr>
              <w:t>4</w:t>
            </w:r>
          </w:p>
        </w:tc>
        <w:tc>
          <w:tcPr>
            <w:tcW w:w="1162" w:type="dxa"/>
            <w:shd w:val="clear" w:color="auto" w:fill="FFFFFF" w:themeFill="background1"/>
            <w:vAlign w:val="center"/>
          </w:tcPr>
          <w:p w14:paraId="3AD16F82">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053CF599">
            <w:pPr>
              <w:widowControl/>
              <w:snapToGrid w:val="0"/>
              <w:spacing w:line="360" w:lineRule="auto"/>
              <w:rPr>
                <w:sz w:val="24"/>
                <w:szCs w:val="28"/>
              </w:rPr>
            </w:pPr>
            <w:r>
              <w:rPr>
                <w:sz w:val="24"/>
                <w:szCs w:val="28"/>
              </w:rPr>
              <w:t>包含钻孔、立杆、支架、线缆、太阳能板等配套设备和材料，其中配套外场机柜防护等级：IP65 及以上。</w:t>
            </w:r>
          </w:p>
        </w:tc>
      </w:tr>
      <w:tr w14:paraId="0DDC4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06E6FAB2">
            <w:pPr>
              <w:widowControl/>
              <w:snapToGrid w:val="0"/>
              <w:spacing w:line="360" w:lineRule="auto"/>
              <w:rPr>
                <w:sz w:val="24"/>
                <w:szCs w:val="28"/>
              </w:rPr>
            </w:pPr>
            <w:r>
              <w:rPr>
                <w:sz w:val="24"/>
                <w:szCs w:val="28"/>
              </w:rPr>
              <w:t>四</w:t>
            </w:r>
          </w:p>
        </w:tc>
        <w:tc>
          <w:tcPr>
            <w:tcW w:w="7060" w:type="dxa"/>
            <w:gridSpan w:val="2"/>
            <w:shd w:val="clear" w:color="auto" w:fill="FFFFFF" w:themeFill="background1"/>
            <w:vAlign w:val="center"/>
          </w:tcPr>
          <w:p w14:paraId="79A54DA9">
            <w:pPr>
              <w:widowControl/>
              <w:snapToGrid w:val="0"/>
              <w:spacing w:line="360" w:lineRule="auto"/>
              <w:rPr>
                <w:sz w:val="24"/>
                <w:szCs w:val="28"/>
              </w:rPr>
            </w:pPr>
            <w:r>
              <w:rPr>
                <w:sz w:val="24"/>
                <w:szCs w:val="28"/>
              </w:rPr>
              <w:t>视频监控</w:t>
            </w:r>
          </w:p>
        </w:tc>
        <w:tc>
          <w:tcPr>
            <w:tcW w:w="720" w:type="dxa"/>
            <w:shd w:val="clear" w:color="auto" w:fill="FFFFFF" w:themeFill="background1"/>
            <w:vAlign w:val="center"/>
          </w:tcPr>
          <w:p w14:paraId="1DCF2BB6">
            <w:pPr>
              <w:widowControl/>
              <w:snapToGrid w:val="0"/>
              <w:spacing w:line="360" w:lineRule="auto"/>
              <w:rPr>
                <w:sz w:val="24"/>
                <w:szCs w:val="28"/>
              </w:rPr>
            </w:pPr>
          </w:p>
        </w:tc>
      </w:tr>
      <w:tr w14:paraId="594DD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4CCF3729">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74CC3B21">
            <w:pPr>
              <w:widowControl/>
              <w:snapToGrid w:val="0"/>
              <w:spacing w:line="360" w:lineRule="auto"/>
              <w:rPr>
                <w:sz w:val="24"/>
                <w:szCs w:val="28"/>
              </w:rPr>
            </w:pPr>
            <w:r>
              <w:rPr>
                <w:sz w:val="24"/>
                <w:szCs w:val="28"/>
              </w:rPr>
              <w:t>高清摄像机</w:t>
            </w:r>
          </w:p>
        </w:tc>
        <w:tc>
          <w:tcPr>
            <w:tcW w:w="6618" w:type="dxa"/>
            <w:gridSpan w:val="2"/>
            <w:shd w:val="clear" w:color="auto" w:fill="FFFFFF" w:themeFill="background1"/>
            <w:vAlign w:val="center"/>
          </w:tcPr>
          <w:p w14:paraId="376E114B">
            <w:pPr>
              <w:widowControl/>
              <w:snapToGrid w:val="0"/>
              <w:spacing w:line="360" w:lineRule="auto"/>
              <w:rPr>
                <w:sz w:val="24"/>
                <w:szCs w:val="28"/>
              </w:rPr>
            </w:pPr>
            <w:r>
              <w:rPr>
                <w:sz w:val="24"/>
                <w:szCs w:val="28"/>
              </w:rPr>
              <w:t>（1）有效像素：≥200万建议大于400万</w:t>
            </w:r>
          </w:p>
          <w:p w14:paraId="461D4AF3">
            <w:pPr>
              <w:widowControl/>
              <w:snapToGrid w:val="0"/>
              <w:spacing w:line="360" w:lineRule="auto"/>
              <w:rPr>
                <w:sz w:val="24"/>
                <w:szCs w:val="28"/>
              </w:rPr>
            </w:pPr>
            <w:r>
              <w:rPr>
                <w:sz w:val="24"/>
                <w:szCs w:val="28"/>
              </w:rPr>
              <w:t>（2）传感器类型：CMOS</w:t>
            </w:r>
          </w:p>
          <w:p w14:paraId="17A43438">
            <w:pPr>
              <w:widowControl/>
              <w:snapToGrid w:val="0"/>
              <w:spacing w:line="360" w:lineRule="auto"/>
              <w:rPr>
                <w:sz w:val="24"/>
                <w:szCs w:val="28"/>
              </w:rPr>
            </w:pPr>
            <w:r>
              <w:rPr>
                <w:sz w:val="24"/>
                <w:szCs w:val="28"/>
              </w:rPr>
              <w:t>（3）压缩标准：标准H.265/H.264</w:t>
            </w:r>
          </w:p>
          <w:p w14:paraId="6E8DA511">
            <w:pPr>
              <w:widowControl/>
              <w:snapToGrid w:val="0"/>
              <w:spacing w:line="360" w:lineRule="auto"/>
              <w:rPr>
                <w:sz w:val="24"/>
                <w:szCs w:val="28"/>
              </w:rPr>
            </w:pPr>
            <w:r>
              <w:rPr>
                <w:sz w:val="24"/>
                <w:szCs w:val="28"/>
              </w:rPr>
              <w:t>（4）夜视类型：全彩夜视</w:t>
            </w:r>
          </w:p>
          <w:p w14:paraId="2D582697">
            <w:pPr>
              <w:widowControl/>
              <w:snapToGrid w:val="0"/>
              <w:spacing w:line="360" w:lineRule="auto"/>
              <w:rPr>
                <w:sz w:val="24"/>
                <w:szCs w:val="28"/>
              </w:rPr>
            </w:pPr>
            <w:r>
              <w:rPr>
                <w:sz w:val="24"/>
                <w:szCs w:val="28"/>
              </w:rPr>
              <w:t>（5）协议标准：ONVIF、GB-T/281812016、HK</w:t>
            </w:r>
          </w:p>
        </w:tc>
      </w:tr>
      <w:tr w14:paraId="5CBC7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225760CD">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53C8E215">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7D35157E">
            <w:pPr>
              <w:widowControl/>
              <w:snapToGrid w:val="0"/>
              <w:spacing w:line="360" w:lineRule="auto"/>
              <w:rPr>
                <w:sz w:val="24"/>
                <w:szCs w:val="28"/>
              </w:rPr>
            </w:pPr>
            <w:r>
              <w:rPr>
                <w:sz w:val="24"/>
                <w:szCs w:val="28"/>
              </w:rPr>
              <w:t>包含立杆、支架、线缆、太阳能板等配套设备和材料，其中配套外场机柜防护等级：IP66 及以上。</w:t>
            </w:r>
          </w:p>
        </w:tc>
      </w:tr>
      <w:tr w14:paraId="77C2B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0A13ED9A">
            <w:pPr>
              <w:widowControl/>
              <w:snapToGrid w:val="0"/>
              <w:spacing w:line="360" w:lineRule="auto"/>
              <w:rPr>
                <w:sz w:val="24"/>
                <w:szCs w:val="28"/>
              </w:rPr>
            </w:pPr>
            <w:r>
              <w:rPr>
                <w:sz w:val="24"/>
                <w:szCs w:val="28"/>
              </w:rPr>
              <w:t>五</w:t>
            </w:r>
          </w:p>
        </w:tc>
        <w:tc>
          <w:tcPr>
            <w:tcW w:w="7060" w:type="dxa"/>
            <w:gridSpan w:val="2"/>
            <w:shd w:val="clear" w:color="auto" w:fill="FFFFFF" w:themeFill="background1"/>
            <w:vAlign w:val="center"/>
          </w:tcPr>
          <w:p w14:paraId="2B03D3BB">
            <w:pPr>
              <w:widowControl/>
              <w:snapToGrid w:val="0"/>
              <w:spacing w:line="360" w:lineRule="auto"/>
              <w:rPr>
                <w:sz w:val="24"/>
                <w:szCs w:val="28"/>
              </w:rPr>
            </w:pPr>
            <w:r>
              <w:rPr>
                <w:sz w:val="24"/>
                <w:szCs w:val="28"/>
              </w:rPr>
              <w:t>深层位移监测</w:t>
            </w:r>
          </w:p>
        </w:tc>
        <w:tc>
          <w:tcPr>
            <w:tcW w:w="720" w:type="dxa"/>
            <w:shd w:val="clear" w:color="auto" w:fill="FFFFFF" w:themeFill="background1"/>
            <w:vAlign w:val="center"/>
          </w:tcPr>
          <w:p w14:paraId="4D2BC24B">
            <w:pPr>
              <w:widowControl/>
              <w:snapToGrid w:val="0"/>
              <w:spacing w:line="360" w:lineRule="auto"/>
              <w:rPr>
                <w:sz w:val="24"/>
                <w:szCs w:val="28"/>
              </w:rPr>
            </w:pPr>
          </w:p>
        </w:tc>
      </w:tr>
      <w:tr w14:paraId="320DF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3F2C0E3A">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1565EF4A">
            <w:pPr>
              <w:widowControl/>
              <w:snapToGrid w:val="0"/>
              <w:spacing w:line="360" w:lineRule="auto"/>
              <w:rPr>
                <w:sz w:val="24"/>
                <w:szCs w:val="28"/>
              </w:rPr>
            </w:pPr>
            <w:r>
              <w:rPr>
                <w:sz w:val="24"/>
                <w:szCs w:val="28"/>
              </w:rPr>
              <w:t>节段式位移计</w:t>
            </w:r>
          </w:p>
        </w:tc>
        <w:tc>
          <w:tcPr>
            <w:tcW w:w="6618" w:type="dxa"/>
            <w:gridSpan w:val="2"/>
            <w:shd w:val="clear" w:color="auto" w:fill="FFFFFF" w:themeFill="background1"/>
            <w:vAlign w:val="center"/>
          </w:tcPr>
          <w:p w14:paraId="17EB9CD1">
            <w:pPr>
              <w:widowControl/>
              <w:snapToGrid w:val="0"/>
              <w:spacing w:line="360" w:lineRule="auto"/>
              <w:rPr>
                <w:sz w:val="24"/>
                <w:szCs w:val="28"/>
              </w:rPr>
            </w:pPr>
            <w:r>
              <w:rPr>
                <w:sz w:val="24"/>
                <w:szCs w:val="28"/>
              </w:rPr>
              <w:t>（1）监测精度 0.2 mm/0.001°</w:t>
            </w:r>
          </w:p>
          <w:p w14:paraId="5AD68A8E">
            <w:pPr>
              <w:widowControl/>
              <w:snapToGrid w:val="0"/>
              <w:spacing w:line="360" w:lineRule="auto"/>
              <w:rPr>
                <w:sz w:val="24"/>
                <w:szCs w:val="28"/>
              </w:rPr>
            </w:pPr>
            <w:r>
              <w:rPr>
                <w:sz w:val="24"/>
                <w:szCs w:val="28"/>
              </w:rPr>
              <w:t>（2）量程 0.5 m 或±15°</w:t>
            </w:r>
          </w:p>
          <w:p w14:paraId="13FB83C2">
            <w:pPr>
              <w:widowControl/>
              <w:snapToGrid w:val="0"/>
              <w:spacing w:line="360" w:lineRule="auto"/>
              <w:rPr>
                <w:sz w:val="24"/>
                <w:szCs w:val="28"/>
              </w:rPr>
            </w:pPr>
            <w:r>
              <w:rPr>
                <w:sz w:val="24"/>
                <w:szCs w:val="28"/>
              </w:rPr>
              <w:t>（3）主要传感器多轴传感器</w:t>
            </w:r>
          </w:p>
          <w:p w14:paraId="409AC2A5">
            <w:pPr>
              <w:widowControl/>
              <w:snapToGrid w:val="0"/>
              <w:spacing w:line="360" w:lineRule="auto"/>
              <w:rPr>
                <w:sz w:val="24"/>
                <w:szCs w:val="28"/>
              </w:rPr>
            </w:pPr>
            <w:r>
              <w:rPr>
                <w:sz w:val="24"/>
                <w:szCs w:val="28"/>
              </w:rPr>
              <w:t>（4）监测层位 对于滑面较明确时，可按不少于3只传感器配置</w:t>
            </w:r>
          </w:p>
          <w:p w14:paraId="50E90392">
            <w:pPr>
              <w:widowControl/>
              <w:snapToGrid w:val="0"/>
              <w:spacing w:line="360" w:lineRule="auto"/>
              <w:rPr>
                <w:sz w:val="24"/>
                <w:szCs w:val="28"/>
              </w:rPr>
            </w:pPr>
            <w:r>
              <w:rPr>
                <w:sz w:val="24"/>
                <w:szCs w:val="28"/>
              </w:rPr>
              <w:t>（5）存贮容量内置存贮设备容量≥512M</w:t>
            </w:r>
          </w:p>
          <w:p w14:paraId="53F7F942">
            <w:pPr>
              <w:widowControl/>
              <w:snapToGrid w:val="0"/>
              <w:spacing w:line="360" w:lineRule="auto"/>
              <w:rPr>
                <w:sz w:val="24"/>
                <w:szCs w:val="28"/>
              </w:rPr>
            </w:pPr>
            <w:r>
              <w:rPr>
                <w:sz w:val="24"/>
                <w:szCs w:val="28"/>
              </w:rPr>
              <w:t>（6）工作温度不小于[-20</w:t>
            </w:r>
            <w:r>
              <w:rPr>
                <w:rFonts w:ascii="Cambria Math" w:hAnsi="Cambria Math" w:cs="Cambria Math"/>
                <w:sz w:val="24"/>
                <w:szCs w:val="28"/>
              </w:rPr>
              <w:t>℃</w:t>
            </w:r>
            <w:r>
              <w:rPr>
                <w:sz w:val="24"/>
                <w:szCs w:val="28"/>
              </w:rPr>
              <w:t>，60</w:t>
            </w:r>
            <w:r>
              <w:rPr>
                <w:rFonts w:ascii="Cambria Math" w:hAnsi="Cambria Math" w:cs="Cambria Math"/>
                <w:sz w:val="24"/>
                <w:szCs w:val="28"/>
              </w:rPr>
              <w:t>℃</w:t>
            </w:r>
            <w:r>
              <w:rPr>
                <w:sz w:val="24"/>
                <w:szCs w:val="28"/>
              </w:rPr>
              <w:t>]区间</w:t>
            </w:r>
          </w:p>
          <w:p w14:paraId="5F2C5CDB">
            <w:pPr>
              <w:widowControl/>
              <w:snapToGrid w:val="0"/>
              <w:spacing w:line="360" w:lineRule="auto"/>
              <w:rPr>
                <w:sz w:val="24"/>
                <w:szCs w:val="28"/>
              </w:rPr>
            </w:pPr>
            <w:r>
              <w:rPr>
                <w:sz w:val="24"/>
                <w:szCs w:val="28"/>
              </w:rPr>
              <w:t>（7）工作湿度 不低于 90% RH</w:t>
            </w:r>
          </w:p>
          <w:p w14:paraId="7DE53C73">
            <w:pPr>
              <w:widowControl/>
              <w:snapToGrid w:val="0"/>
              <w:spacing w:line="360" w:lineRule="auto"/>
              <w:rPr>
                <w:sz w:val="24"/>
                <w:szCs w:val="28"/>
              </w:rPr>
            </w:pPr>
            <w:r>
              <w:rPr>
                <w:sz w:val="24"/>
                <w:szCs w:val="28"/>
              </w:rPr>
              <w:t>（8）防水防尘 不低于 IP65</w:t>
            </w:r>
          </w:p>
        </w:tc>
      </w:tr>
      <w:tr w14:paraId="12081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6B0EB59D">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4B43A606">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28373879">
            <w:pPr>
              <w:widowControl/>
              <w:snapToGrid w:val="0"/>
              <w:spacing w:line="360" w:lineRule="auto"/>
              <w:rPr>
                <w:sz w:val="24"/>
                <w:szCs w:val="28"/>
              </w:rPr>
            </w:pPr>
            <w:r>
              <w:rPr>
                <w:sz w:val="24"/>
                <w:szCs w:val="28"/>
              </w:rPr>
              <w:t>包含钻孔、立杆、支架、线缆、太阳能板等配套设备和材料，其中配套外场机柜防护等级：IP65 及以上。</w:t>
            </w:r>
          </w:p>
        </w:tc>
      </w:tr>
      <w:tr w14:paraId="0025F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59B14671">
            <w:pPr>
              <w:widowControl/>
              <w:snapToGrid w:val="0"/>
              <w:spacing w:line="360" w:lineRule="auto"/>
              <w:rPr>
                <w:sz w:val="24"/>
                <w:szCs w:val="28"/>
              </w:rPr>
            </w:pPr>
            <w:r>
              <w:rPr>
                <w:sz w:val="24"/>
                <w:szCs w:val="28"/>
              </w:rPr>
              <w:t>六</w:t>
            </w:r>
          </w:p>
        </w:tc>
        <w:tc>
          <w:tcPr>
            <w:tcW w:w="7060" w:type="dxa"/>
            <w:gridSpan w:val="2"/>
            <w:shd w:val="clear" w:color="auto" w:fill="FFFFFF" w:themeFill="background1"/>
            <w:vAlign w:val="center"/>
          </w:tcPr>
          <w:p w14:paraId="0FCA8702">
            <w:pPr>
              <w:widowControl/>
              <w:snapToGrid w:val="0"/>
              <w:spacing w:line="360" w:lineRule="auto"/>
              <w:rPr>
                <w:sz w:val="24"/>
                <w:szCs w:val="28"/>
              </w:rPr>
            </w:pPr>
            <w:r>
              <w:rPr>
                <w:sz w:val="24"/>
                <w:szCs w:val="28"/>
              </w:rPr>
              <w:t>地表位移监测</w:t>
            </w:r>
          </w:p>
        </w:tc>
        <w:tc>
          <w:tcPr>
            <w:tcW w:w="720" w:type="dxa"/>
            <w:shd w:val="clear" w:color="auto" w:fill="FFFFFF" w:themeFill="background1"/>
            <w:vAlign w:val="center"/>
          </w:tcPr>
          <w:p w14:paraId="40E1C8B0">
            <w:pPr>
              <w:widowControl/>
              <w:snapToGrid w:val="0"/>
              <w:spacing w:line="360" w:lineRule="auto"/>
              <w:rPr>
                <w:sz w:val="24"/>
                <w:szCs w:val="28"/>
              </w:rPr>
            </w:pPr>
          </w:p>
        </w:tc>
      </w:tr>
      <w:tr w14:paraId="2EE34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6B52D673">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51D5151D">
            <w:pPr>
              <w:widowControl/>
              <w:snapToGrid w:val="0"/>
              <w:spacing w:line="360" w:lineRule="auto"/>
              <w:rPr>
                <w:sz w:val="24"/>
                <w:szCs w:val="28"/>
              </w:rPr>
            </w:pPr>
            <w:r>
              <w:rPr>
                <w:sz w:val="24"/>
                <w:szCs w:val="28"/>
              </w:rPr>
              <w:t>变焦视觉位移监测仪</w:t>
            </w:r>
          </w:p>
        </w:tc>
        <w:tc>
          <w:tcPr>
            <w:tcW w:w="6618" w:type="dxa"/>
            <w:gridSpan w:val="2"/>
            <w:shd w:val="clear" w:color="auto" w:fill="FFFFFF" w:themeFill="background1"/>
            <w:vAlign w:val="center"/>
          </w:tcPr>
          <w:p w14:paraId="6873A865">
            <w:pPr>
              <w:widowControl/>
              <w:snapToGrid w:val="0"/>
              <w:spacing w:line="360" w:lineRule="auto"/>
              <w:rPr>
                <w:sz w:val="24"/>
                <w:szCs w:val="28"/>
              </w:rPr>
            </w:pPr>
            <w:r>
              <w:rPr>
                <w:sz w:val="24"/>
                <w:szCs w:val="28"/>
              </w:rPr>
              <w:t>（1）监测范围：1~500m；</w:t>
            </w:r>
          </w:p>
          <w:p w14:paraId="6C4503C1">
            <w:pPr>
              <w:widowControl/>
              <w:snapToGrid w:val="0"/>
              <w:spacing w:line="360" w:lineRule="auto"/>
              <w:rPr>
                <w:sz w:val="24"/>
                <w:szCs w:val="28"/>
              </w:rPr>
            </w:pPr>
            <w:r>
              <w:rPr>
                <w:sz w:val="24"/>
                <w:szCs w:val="28"/>
              </w:rPr>
              <w:t>（2）监测靶标数量：≤30个；</w:t>
            </w:r>
          </w:p>
          <w:p w14:paraId="5FC248FD">
            <w:pPr>
              <w:widowControl/>
              <w:snapToGrid w:val="0"/>
              <w:spacing w:line="360" w:lineRule="auto"/>
              <w:rPr>
                <w:sz w:val="24"/>
                <w:szCs w:val="28"/>
              </w:rPr>
            </w:pPr>
            <w:r>
              <w:rPr>
                <w:sz w:val="24"/>
                <w:szCs w:val="28"/>
              </w:rPr>
              <w:t>（3）工作温度：-40</w:t>
            </w:r>
            <w:r>
              <w:rPr>
                <w:rFonts w:ascii="Cambria Math" w:hAnsi="Cambria Math" w:cs="Cambria Math"/>
                <w:sz w:val="24"/>
                <w:szCs w:val="28"/>
              </w:rPr>
              <w:t>℃</w:t>
            </w:r>
            <w:r>
              <w:rPr>
                <w:sz w:val="24"/>
                <w:szCs w:val="28"/>
              </w:rPr>
              <w:t>~+85</w:t>
            </w:r>
            <w:r>
              <w:rPr>
                <w:rFonts w:ascii="Cambria Math" w:hAnsi="Cambria Math" w:cs="Cambria Math"/>
                <w:sz w:val="24"/>
                <w:szCs w:val="28"/>
              </w:rPr>
              <w:t>℃</w:t>
            </w:r>
            <w:r>
              <w:rPr>
                <w:sz w:val="24"/>
                <w:szCs w:val="28"/>
              </w:rPr>
              <w:t>；</w:t>
            </w:r>
          </w:p>
          <w:p w14:paraId="28D78B8F">
            <w:pPr>
              <w:widowControl/>
              <w:snapToGrid w:val="0"/>
              <w:spacing w:line="360" w:lineRule="auto"/>
              <w:rPr>
                <w:sz w:val="24"/>
                <w:szCs w:val="28"/>
              </w:rPr>
            </w:pPr>
            <w:r>
              <w:rPr>
                <w:sz w:val="24"/>
                <w:szCs w:val="28"/>
              </w:rPr>
              <w:t>精度、距离</w:t>
            </w:r>
            <w:r>
              <w:rPr>
                <w:sz w:val="24"/>
                <w:szCs w:val="28"/>
              </w:rPr>
              <w:tab/>
            </w:r>
            <w:r>
              <w:rPr>
                <w:sz w:val="24"/>
                <w:szCs w:val="28"/>
              </w:rPr>
              <w:t>0.2mm@50m/1mm@400m；</w:t>
            </w:r>
          </w:p>
          <w:p w14:paraId="7A6CAE4B">
            <w:pPr>
              <w:widowControl/>
              <w:snapToGrid w:val="0"/>
              <w:spacing w:line="360" w:lineRule="auto"/>
              <w:rPr>
                <w:sz w:val="24"/>
                <w:szCs w:val="28"/>
              </w:rPr>
            </w:pPr>
            <w:r>
              <w:rPr>
                <w:sz w:val="24"/>
                <w:szCs w:val="28"/>
              </w:rPr>
              <w:t>（4）供电方式：24V DC；</w:t>
            </w:r>
          </w:p>
          <w:p w14:paraId="369F6C7E">
            <w:pPr>
              <w:widowControl/>
              <w:snapToGrid w:val="0"/>
              <w:spacing w:line="360" w:lineRule="auto"/>
              <w:rPr>
                <w:sz w:val="24"/>
                <w:szCs w:val="28"/>
              </w:rPr>
            </w:pPr>
            <w:r>
              <w:rPr>
                <w:sz w:val="24"/>
                <w:szCs w:val="28"/>
              </w:rPr>
              <w:t>（5）通信接口：以太网、4G、Lora；</w:t>
            </w:r>
          </w:p>
          <w:p w14:paraId="19E5566C">
            <w:pPr>
              <w:widowControl/>
              <w:snapToGrid w:val="0"/>
              <w:spacing w:line="360" w:lineRule="auto"/>
              <w:rPr>
                <w:sz w:val="24"/>
                <w:szCs w:val="28"/>
              </w:rPr>
            </w:pPr>
            <w:r>
              <w:rPr>
                <w:sz w:val="24"/>
                <w:szCs w:val="28"/>
              </w:rPr>
              <w:t>（6）产品形态：集成传感器，数据采集，通信于一体的一体机；</w:t>
            </w:r>
          </w:p>
          <w:p w14:paraId="1AC82BCF">
            <w:pPr>
              <w:widowControl/>
              <w:snapToGrid w:val="0"/>
              <w:spacing w:line="360" w:lineRule="auto"/>
              <w:rPr>
                <w:sz w:val="24"/>
                <w:szCs w:val="28"/>
              </w:rPr>
            </w:pPr>
            <w:r>
              <w:rPr>
                <w:sz w:val="24"/>
                <w:szCs w:val="28"/>
              </w:rPr>
              <w:t>（7）主动采集：按时间周期采集及上报传感器数据；</w:t>
            </w:r>
          </w:p>
          <w:p w14:paraId="112B05AA">
            <w:pPr>
              <w:widowControl/>
              <w:snapToGrid w:val="0"/>
              <w:spacing w:line="360" w:lineRule="auto"/>
              <w:rPr>
                <w:sz w:val="24"/>
                <w:szCs w:val="28"/>
              </w:rPr>
            </w:pPr>
            <w:r>
              <w:rPr>
                <w:sz w:val="24"/>
                <w:szCs w:val="28"/>
              </w:rPr>
              <w:t>（8）数据采集上传周期：可设置采集和上传的时间周期；</w:t>
            </w:r>
          </w:p>
          <w:p w14:paraId="6BA6DAF7">
            <w:pPr>
              <w:widowControl/>
              <w:snapToGrid w:val="0"/>
              <w:spacing w:line="360" w:lineRule="auto"/>
              <w:rPr>
                <w:sz w:val="24"/>
                <w:szCs w:val="28"/>
              </w:rPr>
            </w:pPr>
            <w:r>
              <w:rPr>
                <w:sz w:val="24"/>
                <w:szCs w:val="28"/>
              </w:rPr>
              <w:t>（9）离线存储：通信失败时，数据可保存在本地，再次联网后批量上传；</w:t>
            </w:r>
          </w:p>
          <w:p w14:paraId="6DACE83F">
            <w:pPr>
              <w:widowControl/>
              <w:snapToGrid w:val="0"/>
              <w:spacing w:line="360" w:lineRule="auto"/>
              <w:rPr>
                <w:sz w:val="24"/>
                <w:szCs w:val="28"/>
              </w:rPr>
            </w:pPr>
            <w:r>
              <w:rPr>
                <w:sz w:val="24"/>
                <w:szCs w:val="28"/>
              </w:rPr>
              <w:t>（10）远程升级：设备可自动或手动进行固件远程升级；</w:t>
            </w:r>
          </w:p>
          <w:p w14:paraId="5F633A66">
            <w:pPr>
              <w:widowControl/>
              <w:snapToGrid w:val="0"/>
              <w:spacing w:line="360" w:lineRule="auto"/>
              <w:rPr>
                <w:sz w:val="24"/>
                <w:szCs w:val="28"/>
              </w:rPr>
            </w:pPr>
            <w:r>
              <w:rPr>
                <w:sz w:val="24"/>
                <w:szCs w:val="28"/>
              </w:rPr>
              <w:t>（11）主动采集：按时间周期采集及上报传感器数据；</w:t>
            </w:r>
          </w:p>
          <w:p w14:paraId="0FEF442F">
            <w:pPr>
              <w:widowControl/>
              <w:snapToGrid w:val="0"/>
              <w:spacing w:line="360" w:lineRule="auto"/>
              <w:rPr>
                <w:sz w:val="24"/>
                <w:szCs w:val="28"/>
              </w:rPr>
            </w:pPr>
            <w:r>
              <w:rPr>
                <w:sz w:val="24"/>
                <w:szCs w:val="28"/>
              </w:rPr>
              <w:t>（12）远程管理：支持物联网平台对设备进行远程监控和统一管理；</w:t>
            </w:r>
          </w:p>
          <w:p w14:paraId="610F15E4">
            <w:pPr>
              <w:widowControl/>
              <w:snapToGrid w:val="0"/>
              <w:spacing w:line="360" w:lineRule="auto"/>
              <w:rPr>
                <w:sz w:val="24"/>
                <w:szCs w:val="28"/>
              </w:rPr>
            </w:pPr>
            <w:r>
              <w:rPr>
                <w:sz w:val="24"/>
                <w:szCs w:val="28"/>
              </w:rPr>
              <w:t>（13）显示功能：具有日期、时间、温度、电源状态、网络信号等显示功能；</w:t>
            </w:r>
          </w:p>
          <w:p w14:paraId="509D14FA">
            <w:pPr>
              <w:widowControl/>
              <w:snapToGrid w:val="0"/>
              <w:spacing w:line="360" w:lineRule="auto"/>
              <w:rPr>
                <w:sz w:val="24"/>
                <w:szCs w:val="28"/>
              </w:rPr>
            </w:pPr>
            <w:r>
              <w:rPr>
                <w:sz w:val="24"/>
                <w:szCs w:val="28"/>
              </w:rPr>
              <w:t>（14）设备姿态自检：实现设备倾角、加速度参数监测，辅助完成设备异常自检（设备内置传感，不允许通过线束外部连接）；</w:t>
            </w:r>
          </w:p>
          <w:p w14:paraId="643D6E0F">
            <w:pPr>
              <w:widowControl/>
              <w:snapToGrid w:val="0"/>
              <w:spacing w:line="360" w:lineRule="auto"/>
              <w:rPr>
                <w:sz w:val="24"/>
                <w:szCs w:val="28"/>
              </w:rPr>
            </w:pPr>
            <w:r>
              <w:rPr>
                <w:sz w:val="24"/>
                <w:szCs w:val="28"/>
              </w:rPr>
              <w:t>（15）本地联动报警：支持通过低功率广域网完成与预警广播联网和发送预警信息；</w:t>
            </w:r>
          </w:p>
          <w:p w14:paraId="14C65FB0">
            <w:pPr>
              <w:widowControl/>
              <w:snapToGrid w:val="0"/>
              <w:spacing w:line="360" w:lineRule="auto"/>
              <w:rPr>
                <w:sz w:val="24"/>
                <w:szCs w:val="28"/>
              </w:rPr>
            </w:pPr>
            <w:r>
              <w:rPr>
                <w:sz w:val="24"/>
                <w:szCs w:val="28"/>
              </w:rPr>
              <w:t>（16）前面板智能除雾：前面板应具备加热功能，根据实际情况自动开启加热除雾；</w:t>
            </w:r>
          </w:p>
        </w:tc>
      </w:tr>
      <w:tr w14:paraId="39EF2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4584D998">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7082BC40">
            <w:pPr>
              <w:widowControl/>
              <w:snapToGrid w:val="0"/>
              <w:spacing w:line="360" w:lineRule="auto"/>
              <w:rPr>
                <w:sz w:val="24"/>
                <w:szCs w:val="28"/>
              </w:rPr>
            </w:pPr>
            <w:r>
              <w:rPr>
                <w:sz w:val="24"/>
                <w:szCs w:val="28"/>
              </w:rPr>
              <w:t>普通标靶</w:t>
            </w:r>
          </w:p>
        </w:tc>
        <w:tc>
          <w:tcPr>
            <w:tcW w:w="6618" w:type="dxa"/>
            <w:gridSpan w:val="2"/>
            <w:shd w:val="clear" w:color="auto" w:fill="FFFFFF" w:themeFill="background1"/>
            <w:vAlign w:val="center"/>
          </w:tcPr>
          <w:p w14:paraId="068C44AD">
            <w:pPr>
              <w:widowControl/>
              <w:snapToGrid w:val="0"/>
              <w:spacing w:line="360" w:lineRule="auto"/>
              <w:rPr>
                <w:sz w:val="24"/>
                <w:szCs w:val="28"/>
              </w:rPr>
            </w:pPr>
            <w:r>
              <w:rPr>
                <w:sz w:val="24"/>
                <w:szCs w:val="28"/>
              </w:rPr>
              <w:t>360*360MM，表面处理：黑色纱纹</w:t>
            </w:r>
          </w:p>
          <w:p w14:paraId="72C8A992">
            <w:pPr>
              <w:widowControl/>
              <w:snapToGrid w:val="0"/>
              <w:spacing w:line="360" w:lineRule="auto"/>
              <w:rPr>
                <w:sz w:val="24"/>
                <w:szCs w:val="28"/>
              </w:rPr>
            </w:pPr>
            <w:r>
              <w:rPr>
                <w:sz w:val="24"/>
                <w:szCs w:val="28"/>
              </w:rPr>
              <w:t>普通靶标（含支架）</w:t>
            </w:r>
          </w:p>
        </w:tc>
      </w:tr>
      <w:tr w14:paraId="35422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6CFC2379">
            <w:pPr>
              <w:widowControl/>
              <w:snapToGrid w:val="0"/>
              <w:spacing w:line="360" w:lineRule="auto"/>
              <w:rPr>
                <w:sz w:val="24"/>
                <w:szCs w:val="28"/>
              </w:rPr>
            </w:pPr>
            <w:r>
              <w:rPr>
                <w:sz w:val="24"/>
                <w:szCs w:val="28"/>
              </w:rPr>
              <w:t>3</w:t>
            </w:r>
          </w:p>
        </w:tc>
        <w:tc>
          <w:tcPr>
            <w:tcW w:w="1162" w:type="dxa"/>
            <w:shd w:val="clear" w:color="auto" w:fill="FFFFFF" w:themeFill="background1"/>
            <w:vAlign w:val="center"/>
          </w:tcPr>
          <w:p w14:paraId="5DBA4A20">
            <w:pPr>
              <w:widowControl/>
              <w:snapToGrid w:val="0"/>
              <w:spacing w:line="360" w:lineRule="auto"/>
              <w:rPr>
                <w:sz w:val="24"/>
                <w:szCs w:val="28"/>
              </w:rPr>
            </w:pPr>
            <w:r>
              <w:rPr>
                <w:sz w:val="24"/>
                <w:szCs w:val="28"/>
              </w:rPr>
              <w:t>触发式标靶</w:t>
            </w:r>
          </w:p>
        </w:tc>
        <w:tc>
          <w:tcPr>
            <w:tcW w:w="6618" w:type="dxa"/>
            <w:gridSpan w:val="2"/>
            <w:shd w:val="clear" w:color="auto" w:fill="FFFFFF" w:themeFill="background1"/>
            <w:vAlign w:val="center"/>
          </w:tcPr>
          <w:p w14:paraId="4EFD5860">
            <w:pPr>
              <w:widowControl/>
              <w:snapToGrid w:val="0"/>
              <w:spacing w:line="360" w:lineRule="auto"/>
              <w:rPr>
                <w:sz w:val="24"/>
                <w:szCs w:val="28"/>
              </w:rPr>
            </w:pPr>
            <w:r>
              <w:rPr>
                <w:sz w:val="24"/>
                <w:szCs w:val="28"/>
              </w:rPr>
              <w:t>240*240MM触发式靶标（含支架），靶标内置MEMS传感器</w:t>
            </w:r>
          </w:p>
        </w:tc>
      </w:tr>
      <w:tr w14:paraId="143B1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3CA28B13">
            <w:pPr>
              <w:widowControl/>
              <w:snapToGrid w:val="0"/>
              <w:spacing w:line="360" w:lineRule="auto"/>
              <w:rPr>
                <w:sz w:val="24"/>
                <w:szCs w:val="28"/>
              </w:rPr>
            </w:pPr>
            <w:r>
              <w:rPr>
                <w:sz w:val="24"/>
                <w:szCs w:val="28"/>
              </w:rPr>
              <w:t>4</w:t>
            </w:r>
          </w:p>
        </w:tc>
        <w:tc>
          <w:tcPr>
            <w:tcW w:w="1162" w:type="dxa"/>
            <w:shd w:val="clear" w:color="auto" w:fill="FFFFFF" w:themeFill="background1"/>
            <w:vAlign w:val="center"/>
          </w:tcPr>
          <w:p w14:paraId="31E943D4">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2D2ED9C3">
            <w:pPr>
              <w:widowControl/>
              <w:snapToGrid w:val="0"/>
              <w:spacing w:line="360" w:lineRule="auto"/>
              <w:rPr>
                <w:sz w:val="24"/>
                <w:szCs w:val="28"/>
              </w:rPr>
            </w:pPr>
            <w:r>
              <w:rPr>
                <w:sz w:val="24"/>
                <w:szCs w:val="28"/>
              </w:rPr>
              <w:t>包含立杆、支架、线缆、太阳能电板等配套设备和材料，其中配套外场机柜防护等级：IP65 及以上。</w:t>
            </w:r>
          </w:p>
        </w:tc>
      </w:tr>
      <w:tr w14:paraId="62FA1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0F8D859D">
            <w:pPr>
              <w:widowControl/>
              <w:snapToGrid w:val="0"/>
              <w:spacing w:line="360" w:lineRule="auto"/>
              <w:rPr>
                <w:sz w:val="24"/>
                <w:szCs w:val="28"/>
              </w:rPr>
            </w:pPr>
            <w:r>
              <w:rPr>
                <w:sz w:val="24"/>
                <w:szCs w:val="28"/>
              </w:rPr>
              <w:t>七</w:t>
            </w:r>
          </w:p>
        </w:tc>
        <w:tc>
          <w:tcPr>
            <w:tcW w:w="7780" w:type="dxa"/>
            <w:gridSpan w:val="3"/>
            <w:shd w:val="clear" w:color="auto" w:fill="FFFFFF" w:themeFill="background1"/>
            <w:vAlign w:val="center"/>
          </w:tcPr>
          <w:p w14:paraId="4E745171">
            <w:pPr>
              <w:widowControl/>
              <w:snapToGrid w:val="0"/>
              <w:spacing w:line="360" w:lineRule="auto"/>
              <w:rPr>
                <w:sz w:val="24"/>
                <w:szCs w:val="28"/>
              </w:rPr>
            </w:pPr>
            <w:r>
              <w:rPr>
                <w:sz w:val="24"/>
                <w:szCs w:val="28"/>
              </w:rPr>
              <w:t>地表位移</w:t>
            </w:r>
          </w:p>
        </w:tc>
      </w:tr>
      <w:tr w14:paraId="14567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7A37B41D">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2B7D917B">
            <w:pPr>
              <w:widowControl/>
              <w:snapToGrid w:val="0"/>
              <w:spacing w:line="360" w:lineRule="auto"/>
              <w:rPr>
                <w:sz w:val="24"/>
                <w:szCs w:val="28"/>
              </w:rPr>
            </w:pPr>
            <w:r>
              <w:rPr>
                <w:sz w:val="24"/>
                <w:szCs w:val="28"/>
              </w:rPr>
              <w:t>毫米波雷达</w:t>
            </w:r>
          </w:p>
        </w:tc>
        <w:tc>
          <w:tcPr>
            <w:tcW w:w="6618" w:type="dxa"/>
            <w:gridSpan w:val="2"/>
            <w:shd w:val="clear" w:color="auto" w:fill="FFFFFF" w:themeFill="background1"/>
            <w:vAlign w:val="center"/>
          </w:tcPr>
          <w:p w14:paraId="08573056">
            <w:pPr>
              <w:widowControl/>
              <w:snapToGrid w:val="0"/>
              <w:spacing w:line="360" w:lineRule="auto"/>
              <w:rPr>
                <w:sz w:val="24"/>
                <w:szCs w:val="28"/>
              </w:rPr>
            </w:pPr>
            <w:r>
              <w:rPr>
                <w:sz w:val="24"/>
                <w:szCs w:val="28"/>
              </w:rPr>
              <w:t>（1）距离精度：±5mm</w:t>
            </w:r>
          </w:p>
          <w:p w14:paraId="459C594A">
            <w:pPr>
              <w:widowControl/>
              <w:snapToGrid w:val="0"/>
              <w:spacing w:line="360" w:lineRule="auto"/>
              <w:rPr>
                <w:sz w:val="24"/>
                <w:szCs w:val="28"/>
              </w:rPr>
            </w:pPr>
            <w:r>
              <w:rPr>
                <w:sz w:val="24"/>
                <w:szCs w:val="28"/>
              </w:rPr>
              <w:t>（2）距离范围：1～150m</w:t>
            </w:r>
          </w:p>
          <w:p w14:paraId="5815EF6D">
            <w:pPr>
              <w:widowControl/>
              <w:snapToGrid w:val="0"/>
              <w:spacing w:line="360" w:lineRule="auto"/>
              <w:rPr>
                <w:sz w:val="24"/>
                <w:szCs w:val="28"/>
              </w:rPr>
            </w:pPr>
            <w:r>
              <w:rPr>
                <w:sz w:val="24"/>
                <w:szCs w:val="28"/>
              </w:rPr>
              <w:t>（3）水平波束宽度：±40°</w:t>
            </w:r>
          </w:p>
          <w:p w14:paraId="61EF423B">
            <w:pPr>
              <w:widowControl/>
              <w:snapToGrid w:val="0"/>
              <w:spacing w:line="360" w:lineRule="auto"/>
              <w:rPr>
                <w:sz w:val="24"/>
                <w:szCs w:val="28"/>
              </w:rPr>
            </w:pPr>
            <w:r>
              <w:rPr>
                <w:sz w:val="24"/>
                <w:szCs w:val="28"/>
              </w:rPr>
              <w:t>（4）俯仰波束宽度：±6°</w:t>
            </w:r>
          </w:p>
          <w:p w14:paraId="0751F096">
            <w:pPr>
              <w:widowControl/>
              <w:snapToGrid w:val="0"/>
              <w:spacing w:line="360" w:lineRule="auto"/>
              <w:rPr>
                <w:sz w:val="24"/>
                <w:szCs w:val="28"/>
              </w:rPr>
            </w:pPr>
            <w:r>
              <w:rPr>
                <w:sz w:val="24"/>
                <w:szCs w:val="28"/>
              </w:rPr>
              <w:t>（5）采集频率：1次/分钟（可调）</w:t>
            </w:r>
          </w:p>
          <w:p w14:paraId="1AB069C4">
            <w:pPr>
              <w:widowControl/>
              <w:snapToGrid w:val="0"/>
              <w:spacing w:line="360" w:lineRule="auto"/>
              <w:rPr>
                <w:sz w:val="24"/>
                <w:szCs w:val="28"/>
              </w:rPr>
            </w:pPr>
            <w:r>
              <w:rPr>
                <w:sz w:val="24"/>
                <w:szCs w:val="28"/>
              </w:rPr>
              <w:t>（6）防护等级 IP67</w:t>
            </w:r>
          </w:p>
        </w:tc>
      </w:tr>
      <w:tr w14:paraId="3F036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2E3DA895">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7115FA76">
            <w:pPr>
              <w:widowControl/>
              <w:snapToGrid w:val="0"/>
              <w:spacing w:line="360" w:lineRule="auto"/>
              <w:rPr>
                <w:sz w:val="24"/>
                <w:szCs w:val="28"/>
              </w:rPr>
            </w:pPr>
            <w:r>
              <w:rPr>
                <w:sz w:val="24"/>
                <w:szCs w:val="28"/>
              </w:rPr>
              <w:t>标靶</w:t>
            </w:r>
          </w:p>
        </w:tc>
        <w:tc>
          <w:tcPr>
            <w:tcW w:w="6618" w:type="dxa"/>
            <w:gridSpan w:val="2"/>
            <w:shd w:val="clear" w:color="auto" w:fill="FFFFFF" w:themeFill="background1"/>
            <w:vAlign w:val="center"/>
          </w:tcPr>
          <w:p w14:paraId="194195F8">
            <w:pPr>
              <w:widowControl/>
              <w:snapToGrid w:val="0"/>
              <w:spacing w:line="360" w:lineRule="auto"/>
              <w:rPr>
                <w:sz w:val="24"/>
                <w:szCs w:val="28"/>
              </w:rPr>
            </w:pPr>
          </w:p>
        </w:tc>
      </w:tr>
      <w:tr w14:paraId="3B142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647AF1A7">
            <w:pPr>
              <w:widowControl/>
              <w:snapToGrid w:val="0"/>
              <w:spacing w:line="360" w:lineRule="auto"/>
              <w:rPr>
                <w:sz w:val="24"/>
                <w:szCs w:val="28"/>
              </w:rPr>
            </w:pPr>
            <w:r>
              <w:rPr>
                <w:sz w:val="24"/>
                <w:szCs w:val="28"/>
              </w:rPr>
              <w:t>3</w:t>
            </w:r>
          </w:p>
        </w:tc>
        <w:tc>
          <w:tcPr>
            <w:tcW w:w="1162" w:type="dxa"/>
            <w:shd w:val="clear" w:color="auto" w:fill="FFFFFF" w:themeFill="background1"/>
            <w:vAlign w:val="center"/>
          </w:tcPr>
          <w:p w14:paraId="1C068D6F">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65BA1EB7">
            <w:pPr>
              <w:widowControl/>
              <w:snapToGrid w:val="0"/>
              <w:spacing w:line="360" w:lineRule="auto"/>
              <w:rPr>
                <w:sz w:val="24"/>
                <w:szCs w:val="28"/>
              </w:rPr>
            </w:pPr>
            <w:r>
              <w:rPr>
                <w:sz w:val="24"/>
                <w:szCs w:val="28"/>
              </w:rPr>
              <w:t>包含立杆、支架、线缆、太阳能电板等配套设备和材料，其中配套外场机柜防护等级：IP65 及以上。</w:t>
            </w:r>
          </w:p>
        </w:tc>
      </w:tr>
      <w:tr w14:paraId="584F6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02433648">
            <w:pPr>
              <w:widowControl/>
              <w:snapToGrid w:val="0"/>
              <w:spacing w:line="360" w:lineRule="auto"/>
              <w:rPr>
                <w:sz w:val="24"/>
                <w:szCs w:val="28"/>
              </w:rPr>
            </w:pPr>
            <w:r>
              <w:rPr>
                <w:sz w:val="24"/>
                <w:szCs w:val="28"/>
              </w:rPr>
              <w:t>八</w:t>
            </w:r>
          </w:p>
        </w:tc>
        <w:tc>
          <w:tcPr>
            <w:tcW w:w="1162" w:type="dxa"/>
            <w:shd w:val="clear" w:color="auto" w:fill="FFFFFF" w:themeFill="background1"/>
            <w:vAlign w:val="center"/>
          </w:tcPr>
          <w:p w14:paraId="313AD194">
            <w:pPr>
              <w:widowControl/>
              <w:snapToGrid w:val="0"/>
              <w:spacing w:line="360" w:lineRule="auto"/>
              <w:rPr>
                <w:sz w:val="24"/>
                <w:szCs w:val="28"/>
              </w:rPr>
            </w:pPr>
            <w:r>
              <w:rPr>
                <w:sz w:val="24"/>
                <w:szCs w:val="28"/>
              </w:rPr>
              <w:t>声光报警器</w:t>
            </w:r>
          </w:p>
        </w:tc>
        <w:tc>
          <w:tcPr>
            <w:tcW w:w="6618" w:type="dxa"/>
            <w:gridSpan w:val="2"/>
            <w:shd w:val="clear" w:color="auto" w:fill="FFFFFF" w:themeFill="background1"/>
            <w:vAlign w:val="center"/>
          </w:tcPr>
          <w:p w14:paraId="4E83FD72">
            <w:pPr>
              <w:widowControl/>
              <w:snapToGrid w:val="0"/>
              <w:spacing w:line="360" w:lineRule="auto"/>
              <w:rPr>
                <w:sz w:val="24"/>
                <w:szCs w:val="28"/>
              </w:rPr>
            </w:pPr>
          </w:p>
        </w:tc>
      </w:tr>
      <w:tr w14:paraId="7D776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78564779">
            <w:pPr>
              <w:widowControl/>
              <w:snapToGrid w:val="0"/>
              <w:spacing w:line="360" w:lineRule="auto"/>
              <w:rPr>
                <w:sz w:val="24"/>
                <w:szCs w:val="28"/>
              </w:rPr>
            </w:pPr>
            <w:r>
              <w:rPr>
                <w:sz w:val="24"/>
                <w:szCs w:val="28"/>
              </w:rPr>
              <w:t>1</w:t>
            </w:r>
          </w:p>
        </w:tc>
        <w:tc>
          <w:tcPr>
            <w:tcW w:w="1162" w:type="dxa"/>
            <w:shd w:val="clear" w:color="auto" w:fill="FFFFFF" w:themeFill="background1"/>
            <w:vAlign w:val="center"/>
          </w:tcPr>
          <w:p w14:paraId="4787A43F">
            <w:pPr>
              <w:widowControl/>
              <w:snapToGrid w:val="0"/>
              <w:spacing w:line="360" w:lineRule="auto"/>
              <w:rPr>
                <w:sz w:val="24"/>
                <w:szCs w:val="28"/>
              </w:rPr>
            </w:pPr>
            <w:r>
              <w:rPr>
                <w:sz w:val="24"/>
                <w:szCs w:val="28"/>
              </w:rPr>
              <w:t>声光报警</w:t>
            </w:r>
          </w:p>
        </w:tc>
        <w:tc>
          <w:tcPr>
            <w:tcW w:w="6618" w:type="dxa"/>
            <w:gridSpan w:val="2"/>
            <w:shd w:val="clear" w:color="auto" w:fill="FFFFFF" w:themeFill="background1"/>
            <w:vAlign w:val="center"/>
          </w:tcPr>
          <w:p w14:paraId="53B76E46">
            <w:pPr>
              <w:widowControl/>
              <w:snapToGrid w:val="0"/>
              <w:spacing w:line="360" w:lineRule="auto"/>
              <w:rPr>
                <w:sz w:val="24"/>
                <w:szCs w:val="28"/>
              </w:rPr>
            </w:pPr>
            <w:r>
              <w:rPr>
                <w:sz w:val="24"/>
                <w:szCs w:val="28"/>
              </w:rPr>
              <w:t>（1）功率≤40w</w:t>
            </w:r>
          </w:p>
          <w:p w14:paraId="0D168A9C">
            <w:pPr>
              <w:widowControl/>
              <w:snapToGrid w:val="0"/>
              <w:spacing w:line="360" w:lineRule="auto"/>
              <w:rPr>
                <w:sz w:val="24"/>
                <w:szCs w:val="28"/>
              </w:rPr>
            </w:pPr>
            <w:r>
              <w:rPr>
                <w:sz w:val="24"/>
                <w:szCs w:val="28"/>
              </w:rPr>
              <w:t>（2）工作温度-40~80</w:t>
            </w:r>
            <w:r>
              <w:rPr>
                <w:rFonts w:ascii="Cambria Math" w:hAnsi="Cambria Math" w:cs="Cambria Math"/>
                <w:sz w:val="24"/>
                <w:szCs w:val="28"/>
              </w:rPr>
              <w:t>℃</w:t>
            </w:r>
          </w:p>
          <w:p w14:paraId="5841EBB1">
            <w:pPr>
              <w:widowControl/>
              <w:snapToGrid w:val="0"/>
              <w:spacing w:line="360" w:lineRule="auto"/>
              <w:rPr>
                <w:sz w:val="24"/>
                <w:szCs w:val="28"/>
              </w:rPr>
            </w:pPr>
            <w:r>
              <w:rPr>
                <w:sz w:val="24"/>
                <w:szCs w:val="28"/>
              </w:rPr>
              <w:t>（3）防护等级 IP65</w:t>
            </w:r>
          </w:p>
        </w:tc>
      </w:tr>
      <w:tr w14:paraId="0E177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FFFFFF" w:themeFill="background1"/>
          <w:tblCellMar>
            <w:top w:w="0" w:type="dxa"/>
            <w:left w:w="0" w:type="dxa"/>
            <w:bottom w:w="0" w:type="dxa"/>
            <w:right w:w="0" w:type="dxa"/>
          </w:tblCellMar>
        </w:tblPrEx>
        <w:trPr>
          <w:trHeight w:val="631" w:hRule="atLeast"/>
        </w:trPr>
        <w:tc>
          <w:tcPr>
            <w:tcW w:w="520" w:type="dxa"/>
            <w:shd w:val="clear" w:color="auto" w:fill="FFFFFF" w:themeFill="background1"/>
            <w:vAlign w:val="center"/>
          </w:tcPr>
          <w:p w14:paraId="10C8FBF9">
            <w:pPr>
              <w:widowControl/>
              <w:snapToGrid w:val="0"/>
              <w:spacing w:line="360" w:lineRule="auto"/>
              <w:rPr>
                <w:sz w:val="24"/>
                <w:szCs w:val="28"/>
              </w:rPr>
            </w:pPr>
            <w:r>
              <w:rPr>
                <w:sz w:val="24"/>
                <w:szCs w:val="28"/>
              </w:rPr>
              <w:t>2</w:t>
            </w:r>
          </w:p>
        </w:tc>
        <w:tc>
          <w:tcPr>
            <w:tcW w:w="1162" w:type="dxa"/>
            <w:shd w:val="clear" w:color="auto" w:fill="FFFFFF" w:themeFill="background1"/>
            <w:vAlign w:val="center"/>
          </w:tcPr>
          <w:p w14:paraId="203045ED">
            <w:pPr>
              <w:widowControl/>
              <w:snapToGrid w:val="0"/>
              <w:spacing w:line="360" w:lineRule="auto"/>
              <w:rPr>
                <w:sz w:val="24"/>
                <w:szCs w:val="28"/>
              </w:rPr>
            </w:pPr>
            <w:r>
              <w:rPr>
                <w:sz w:val="24"/>
                <w:szCs w:val="28"/>
              </w:rPr>
              <w:t>土建施工</w:t>
            </w:r>
          </w:p>
        </w:tc>
        <w:tc>
          <w:tcPr>
            <w:tcW w:w="6618" w:type="dxa"/>
            <w:gridSpan w:val="2"/>
            <w:shd w:val="clear" w:color="auto" w:fill="FFFFFF" w:themeFill="background1"/>
            <w:vAlign w:val="center"/>
          </w:tcPr>
          <w:p w14:paraId="714876B1">
            <w:pPr>
              <w:widowControl/>
              <w:snapToGrid w:val="0"/>
              <w:spacing w:line="360" w:lineRule="auto"/>
              <w:rPr>
                <w:sz w:val="24"/>
                <w:szCs w:val="28"/>
              </w:rPr>
            </w:pPr>
            <w:r>
              <w:rPr>
                <w:sz w:val="24"/>
                <w:szCs w:val="28"/>
              </w:rPr>
              <w:t>包含立杆、支架、线缆、太阳能电板等配套设备和材料，其中配套外场机柜防护等级：IP65及以上。</w:t>
            </w:r>
          </w:p>
        </w:tc>
      </w:tr>
    </w:tbl>
    <w:p w14:paraId="13882F44">
      <w:pPr>
        <w:widowControl/>
        <w:snapToGrid w:val="0"/>
        <w:spacing w:line="360" w:lineRule="auto"/>
        <w:ind w:firstLine="480" w:firstLineChars="200"/>
        <w:rPr>
          <w:rFonts w:hint="eastAsia"/>
          <w:sz w:val="24"/>
          <w:szCs w:val="28"/>
        </w:rPr>
      </w:pPr>
      <w:r>
        <w:rPr>
          <w:rFonts w:hint="eastAsia"/>
          <w:sz w:val="24"/>
          <w:szCs w:val="28"/>
          <w:lang w:val="en-US" w:eastAsia="zh-CN"/>
        </w:rPr>
        <w:t>六</w:t>
      </w:r>
      <w:r>
        <w:rPr>
          <w:rFonts w:hint="eastAsia"/>
          <w:sz w:val="24"/>
          <w:szCs w:val="28"/>
        </w:rPr>
        <w:t>、 其他</w:t>
      </w:r>
    </w:p>
    <w:p w14:paraId="19254C5B">
      <w:pPr>
        <w:widowControl/>
        <w:snapToGrid w:val="0"/>
        <w:spacing w:line="360" w:lineRule="auto"/>
        <w:ind w:firstLine="480" w:firstLineChars="200"/>
        <w:rPr>
          <w:rFonts w:hint="eastAsia"/>
          <w:sz w:val="24"/>
          <w:szCs w:val="28"/>
        </w:rPr>
      </w:pPr>
      <w:r>
        <w:rPr>
          <w:rFonts w:hint="eastAsia"/>
          <w:sz w:val="24"/>
          <w:szCs w:val="28"/>
        </w:rPr>
        <w:t>1、监测系统应与外部系统互联互通、数据共享，并按要求接入湖北交投高</w:t>
      </w:r>
    </w:p>
    <w:p w14:paraId="57932056">
      <w:pPr>
        <w:widowControl/>
        <w:snapToGrid w:val="0"/>
        <w:spacing w:line="360" w:lineRule="auto"/>
        <w:rPr>
          <w:rFonts w:hint="eastAsia"/>
          <w:sz w:val="24"/>
          <w:szCs w:val="28"/>
        </w:rPr>
      </w:pPr>
      <w:r>
        <w:rPr>
          <w:rFonts w:hint="eastAsia"/>
          <w:sz w:val="24"/>
          <w:szCs w:val="28"/>
        </w:rPr>
        <w:t>速智慧养护管理平台。</w:t>
      </w:r>
    </w:p>
    <w:p w14:paraId="70D10F00">
      <w:pPr>
        <w:widowControl/>
        <w:snapToGrid w:val="0"/>
        <w:spacing w:line="360" w:lineRule="auto"/>
        <w:ind w:firstLine="480" w:firstLineChars="200"/>
        <w:rPr>
          <w:rFonts w:hint="eastAsia"/>
          <w:sz w:val="24"/>
          <w:szCs w:val="28"/>
        </w:rPr>
      </w:pPr>
      <w:r>
        <w:rPr>
          <w:rFonts w:hint="eastAsia"/>
          <w:sz w:val="24"/>
          <w:szCs w:val="28"/>
        </w:rPr>
        <w:t>2、上成果均须通过招标人组织验收或确认，同时满足招标文件、监测工程</w:t>
      </w:r>
    </w:p>
    <w:p w14:paraId="692C2625">
      <w:pPr>
        <w:widowControl/>
        <w:snapToGrid w:val="0"/>
        <w:spacing w:line="360" w:lineRule="auto"/>
        <w:rPr>
          <w:sz w:val="24"/>
          <w:szCs w:val="28"/>
        </w:rPr>
      </w:pPr>
      <w:r>
        <w:rPr>
          <w:rFonts w:hint="eastAsia"/>
          <w:sz w:val="24"/>
          <w:szCs w:val="28"/>
        </w:rPr>
        <w:t>设计和合同有关规定的要求。</w:t>
      </w:r>
    </w:p>
    <w:p w14:paraId="746213D9">
      <w:pPr>
        <w:widowControl/>
        <w:snapToGrid w:val="0"/>
        <w:spacing w:line="360" w:lineRule="auto"/>
        <w:ind w:firstLine="480" w:firstLineChars="200"/>
        <w:rPr>
          <w:rFonts w:hint="eastAsia"/>
          <w:sz w:val="24"/>
          <w:szCs w:val="28"/>
        </w:rPr>
      </w:pPr>
      <w:r>
        <w:rPr>
          <w:rFonts w:hint="eastAsia"/>
          <w:sz w:val="24"/>
          <w:szCs w:val="28"/>
        </w:rPr>
        <w:t>九、 服务清单</w:t>
      </w:r>
    </w:p>
    <w:p w14:paraId="6DC7CF4A">
      <w:pPr>
        <w:widowControl/>
        <w:snapToGrid w:val="0"/>
        <w:spacing w:line="360" w:lineRule="auto"/>
        <w:ind w:firstLine="480" w:firstLineChars="200"/>
        <w:rPr>
          <w:sz w:val="24"/>
          <w:szCs w:val="28"/>
        </w:rPr>
      </w:pPr>
      <w:r>
        <w:rPr>
          <w:rFonts w:hint="eastAsia"/>
          <w:sz w:val="24"/>
          <w:szCs w:val="28"/>
        </w:rPr>
        <w:t>（1）主要工作量</w:t>
      </w:r>
    </w:p>
    <w:tbl>
      <w:tblPr>
        <w:tblStyle w:val="24"/>
        <w:tblW w:w="8217"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000"/>
        <w:gridCol w:w="2539"/>
        <w:gridCol w:w="2126"/>
        <w:gridCol w:w="2552"/>
      </w:tblGrid>
      <w:tr w14:paraId="04A4D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0" w:hRule="atLeast"/>
        </w:trPr>
        <w:tc>
          <w:tcPr>
            <w:tcW w:w="1000" w:type="dxa"/>
            <w:vAlign w:val="center"/>
          </w:tcPr>
          <w:p w14:paraId="34BD1585">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序号</w:t>
            </w:r>
          </w:p>
        </w:tc>
        <w:tc>
          <w:tcPr>
            <w:tcW w:w="2539" w:type="dxa"/>
            <w:vAlign w:val="center"/>
          </w:tcPr>
          <w:p w14:paraId="24AF798B">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名称</w:t>
            </w:r>
          </w:p>
        </w:tc>
        <w:tc>
          <w:tcPr>
            <w:tcW w:w="2126" w:type="dxa"/>
            <w:vAlign w:val="center"/>
          </w:tcPr>
          <w:p w14:paraId="70E3A2FD">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单位</w:t>
            </w:r>
          </w:p>
        </w:tc>
        <w:tc>
          <w:tcPr>
            <w:tcW w:w="2552" w:type="dxa"/>
            <w:vAlign w:val="center"/>
          </w:tcPr>
          <w:p w14:paraId="2DE1A422">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数量</w:t>
            </w:r>
          </w:p>
        </w:tc>
      </w:tr>
      <w:tr w14:paraId="5EE9F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05C5CB46">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1</w:t>
            </w:r>
          </w:p>
        </w:tc>
        <w:tc>
          <w:tcPr>
            <w:tcW w:w="2539" w:type="dxa"/>
            <w:vAlign w:val="center"/>
          </w:tcPr>
          <w:p w14:paraId="072C2B58">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地表位移监测GNSS</w:t>
            </w:r>
          </w:p>
        </w:tc>
        <w:tc>
          <w:tcPr>
            <w:tcW w:w="2126" w:type="dxa"/>
            <w:vAlign w:val="center"/>
          </w:tcPr>
          <w:p w14:paraId="5F3B6277">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套</w:t>
            </w:r>
          </w:p>
        </w:tc>
        <w:tc>
          <w:tcPr>
            <w:tcW w:w="2552" w:type="dxa"/>
            <w:vAlign w:val="center"/>
          </w:tcPr>
          <w:p w14:paraId="6462394C">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30.00</w:t>
            </w:r>
          </w:p>
        </w:tc>
      </w:tr>
      <w:tr w14:paraId="2B6A4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34F3C2CB">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2</w:t>
            </w:r>
          </w:p>
        </w:tc>
        <w:tc>
          <w:tcPr>
            <w:tcW w:w="2539" w:type="dxa"/>
            <w:vAlign w:val="center"/>
          </w:tcPr>
          <w:p w14:paraId="651C5482">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声光报警器</w:t>
            </w:r>
          </w:p>
        </w:tc>
        <w:tc>
          <w:tcPr>
            <w:tcW w:w="2126" w:type="dxa"/>
            <w:vAlign w:val="center"/>
          </w:tcPr>
          <w:p w14:paraId="78C8ADF6">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套</w:t>
            </w:r>
          </w:p>
        </w:tc>
        <w:tc>
          <w:tcPr>
            <w:tcW w:w="2552" w:type="dxa"/>
            <w:vAlign w:val="center"/>
          </w:tcPr>
          <w:p w14:paraId="4F4E51FD">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15.00</w:t>
            </w:r>
          </w:p>
        </w:tc>
      </w:tr>
      <w:tr w14:paraId="2DBC0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677E1CF1">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3</w:t>
            </w:r>
          </w:p>
        </w:tc>
        <w:tc>
          <w:tcPr>
            <w:tcW w:w="2539" w:type="dxa"/>
            <w:vAlign w:val="center"/>
          </w:tcPr>
          <w:p w14:paraId="20646EEC">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视觉位移</w:t>
            </w:r>
          </w:p>
        </w:tc>
        <w:tc>
          <w:tcPr>
            <w:tcW w:w="2126" w:type="dxa"/>
            <w:vAlign w:val="center"/>
          </w:tcPr>
          <w:p w14:paraId="164EDB99">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套</w:t>
            </w:r>
          </w:p>
        </w:tc>
        <w:tc>
          <w:tcPr>
            <w:tcW w:w="2552" w:type="dxa"/>
            <w:vAlign w:val="center"/>
          </w:tcPr>
          <w:p w14:paraId="2241CFFC">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4.00</w:t>
            </w:r>
          </w:p>
        </w:tc>
      </w:tr>
      <w:tr w14:paraId="4CF79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53CDF8E7">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4</w:t>
            </w:r>
          </w:p>
        </w:tc>
        <w:tc>
          <w:tcPr>
            <w:tcW w:w="2539" w:type="dxa"/>
            <w:vAlign w:val="center"/>
          </w:tcPr>
          <w:p w14:paraId="5F5C80DB">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边坡雷达</w:t>
            </w:r>
          </w:p>
        </w:tc>
        <w:tc>
          <w:tcPr>
            <w:tcW w:w="2126" w:type="dxa"/>
            <w:vAlign w:val="center"/>
          </w:tcPr>
          <w:p w14:paraId="497D5D09">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套</w:t>
            </w:r>
          </w:p>
        </w:tc>
        <w:tc>
          <w:tcPr>
            <w:tcW w:w="2552" w:type="dxa"/>
            <w:vAlign w:val="center"/>
          </w:tcPr>
          <w:p w14:paraId="747BCEEB">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1.00</w:t>
            </w:r>
          </w:p>
        </w:tc>
      </w:tr>
      <w:tr w14:paraId="400DB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0B6C3AEB">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5</w:t>
            </w:r>
          </w:p>
        </w:tc>
        <w:tc>
          <w:tcPr>
            <w:tcW w:w="2539" w:type="dxa"/>
            <w:vAlign w:val="center"/>
          </w:tcPr>
          <w:p w14:paraId="1EB1B997">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雨量计</w:t>
            </w:r>
          </w:p>
        </w:tc>
        <w:tc>
          <w:tcPr>
            <w:tcW w:w="2126" w:type="dxa"/>
            <w:vAlign w:val="center"/>
          </w:tcPr>
          <w:p w14:paraId="4B258640">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套</w:t>
            </w:r>
          </w:p>
        </w:tc>
        <w:tc>
          <w:tcPr>
            <w:tcW w:w="2552" w:type="dxa"/>
            <w:vAlign w:val="center"/>
          </w:tcPr>
          <w:p w14:paraId="3A6B7812">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4.00</w:t>
            </w:r>
          </w:p>
        </w:tc>
      </w:tr>
      <w:tr w14:paraId="426B1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51FD3616">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6</w:t>
            </w:r>
          </w:p>
        </w:tc>
        <w:tc>
          <w:tcPr>
            <w:tcW w:w="2539" w:type="dxa"/>
            <w:vAlign w:val="center"/>
          </w:tcPr>
          <w:p w14:paraId="39C9AB84">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裂缝计</w:t>
            </w:r>
          </w:p>
        </w:tc>
        <w:tc>
          <w:tcPr>
            <w:tcW w:w="2126" w:type="dxa"/>
            <w:vAlign w:val="center"/>
          </w:tcPr>
          <w:p w14:paraId="26BAA80E">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个</w:t>
            </w:r>
          </w:p>
        </w:tc>
        <w:tc>
          <w:tcPr>
            <w:tcW w:w="2552" w:type="dxa"/>
            <w:vAlign w:val="center"/>
          </w:tcPr>
          <w:p w14:paraId="4954D69B">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13.00</w:t>
            </w:r>
          </w:p>
        </w:tc>
      </w:tr>
      <w:tr w14:paraId="3BD91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48E7F88E">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7</w:t>
            </w:r>
          </w:p>
        </w:tc>
        <w:tc>
          <w:tcPr>
            <w:tcW w:w="2539" w:type="dxa"/>
            <w:vAlign w:val="center"/>
          </w:tcPr>
          <w:p w14:paraId="78E97DEA">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视频监控</w:t>
            </w:r>
          </w:p>
        </w:tc>
        <w:tc>
          <w:tcPr>
            <w:tcW w:w="2126" w:type="dxa"/>
            <w:vAlign w:val="center"/>
          </w:tcPr>
          <w:p w14:paraId="44A5105B">
            <w:pPr>
              <w:widowControl/>
              <w:jc w:val="center"/>
              <w:rPr>
                <w:rFonts w:ascii="宋体" w:hAnsi="宋体" w:cs="宋体"/>
                <w:color w:val="000000"/>
                <w:kern w:val="0"/>
                <w:sz w:val="20"/>
                <w:szCs w:val="20"/>
              </w:rPr>
            </w:pPr>
            <w:r>
              <w:rPr>
                <w:rFonts w:ascii="宋体" w:hAnsi="宋体" w:cs="宋体"/>
                <w:color w:val="000000"/>
                <w:kern w:val="0"/>
                <w:sz w:val="20"/>
                <w:szCs w:val="20"/>
              </w:rPr>
              <w:t>台</w:t>
            </w:r>
          </w:p>
        </w:tc>
        <w:tc>
          <w:tcPr>
            <w:tcW w:w="2552" w:type="dxa"/>
            <w:vAlign w:val="center"/>
          </w:tcPr>
          <w:p w14:paraId="262283BA">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11.00</w:t>
            </w:r>
          </w:p>
        </w:tc>
      </w:tr>
      <w:tr w14:paraId="4ED30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 w:hRule="atLeast"/>
        </w:trPr>
        <w:tc>
          <w:tcPr>
            <w:tcW w:w="1000" w:type="dxa"/>
            <w:vAlign w:val="center"/>
          </w:tcPr>
          <w:p w14:paraId="1A295D19">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8</w:t>
            </w:r>
          </w:p>
        </w:tc>
        <w:tc>
          <w:tcPr>
            <w:tcW w:w="2539" w:type="dxa"/>
            <w:vAlign w:val="center"/>
          </w:tcPr>
          <w:p w14:paraId="07F75943">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倾角计</w:t>
            </w:r>
          </w:p>
        </w:tc>
        <w:tc>
          <w:tcPr>
            <w:tcW w:w="2126" w:type="dxa"/>
            <w:vAlign w:val="center"/>
          </w:tcPr>
          <w:p w14:paraId="2FF8EFDE">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块</w:t>
            </w:r>
          </w:p>
        </w:tc>
        <w:tc>
          <w:tcPr>
            <w:tcW w:w="2552" w:type="dxa"/>
            <w:vAlign w:val="center"/>
          </w:tcPr>
          <w:p w14:paraId="41C0D9A7">
            <w:pPr>
              <w:widowControl/>
              <w:jc w:val="center"/>
              <w:rPr>
                <w:rFonts w:ascii="宋体" w:hAnsi="宋体" w:eastAsia="宋体" w:cs="宋体"/>
                <w:color w:val="000000"/>
                <w:kern w:val="0"/>
                <w:sz w:val="20"/>
                <w:szCs w:val="20"/>
              </w:rPr>
            </w:pPr>
            <w:r>
              <w:rPr>
                <w:rFonts w:ascii="宋体" w:hAnsi="宋体" w:eastAsia="宋体" w:cs="宋体"/>
                <w:color w:val="000000"/>
                <w:kern w:val="0"/>
                <w:sz w:val="20"/>
                <w:szCs w:val="20"/>
              </w:rPr>
              <w:t>53.00</w:t>
            </w:r>
          </w:p>
        </w:tc>
      </w:tr>
    </w:tbl>
    <w:p w14:paraId="028DB75D">
      <w:pPr>
        <w:widowControl/>
        <w:snapToGrid w:val="0"/>
        <w:spacing w:line="360" w:lineRule="auto"/>
        <w:ind w:firstLine="480" w:firstLineChars="200"/>
        <w:rPr>
          <w:sz w:val="24"/>
          <w:szCs w:val="28"/>
        </w:rPr>
      </w:pPr>
      <w:r>
        <w:rPr>
          <w:rFonts w:hint="eastAsia"/>
          <w:sz w:val="24"/>
          <w:szCs w:val="28"/>
        </w:rPr>
        <w:t>（2）中标人须提供符合投标文件和国家相关质量标准的全新合格货物。如发生所供货物与现行国家政策法规、合同约定不符，采购人有权拒收、退货、解除合同，或者中标人予以免费更换。</w:t>
      </w:r>
    </w:p>
    <w:p w14:paraId="0B38C5E3">
      <w:pPr>
        <w:widowControl/>
        <w:snapToGrid w:val="0"/>
        <w:spacing w:line="360" w:lineRule="auto"/>
        <w:ind w:firstLine="360" w:firstLineChars="150"/>
        <w:rPr>
          <w:rFonts w:hint="eastAsia"/>
          <w:sz w:val="24"/>
          <w:szCs w:val="28"/>
        </w:rPr>
      </w:pPr>
      <w:r>
        <w:rPr>
          <w:rFonts w:hint="eastAsia"/>
          <w:sz w:val="24"/>
          <w:szCs w:val="28"/>
        </w:rPr>
        <w:t>（3）本次招标的货物如涉及国家规定强制认证的（如工业产品生产许可证， 3C认证，等等），中标人须在采购人对上述货物验收时提供相关证书证明资料（上述产品相关强制认证的证明文件投标时不需提供，投标文件另有要求的除外），否则按验收不能通过，采购人给予退货、解除合同或经采购人同意换货处理，中标人自行承担由此造成的损失。</w:t>
      </w:r>
    </w:p>
    <w:p w14:paraId="5518391E">
      <w:pPr>
        <w:spacing w:line="360" w:lineRule="auto"/>
        <w:ind w:firstLine="480" w:firstLineChars="200"/>
        <w:jc w:val="left"/>
        <w:rPr>
          <w:rStyle w:val="25"/>
          <w:rFonts w:hint="default" w:ascii="Times New Roman" w:hAnsi="Times New Roman"/>
          <w:sz w:val="24"/>
          <w:szCs w:val="24"/>
        </w:rPr>
      </w:pPr>
      <w:r>
        <w:rPr>
          <w:rStyle w:val="25"/>
          <w:rFonts w:hint="default" w:ascii="Times New Roman" w:hAnsi="Times New Roman"/>
          <w:sz w:val="24"/>
          <w:szCs w:val="24"/>
        </w:rPr>
        <w:t>七、项目建设原则与依据</w:t>
      </w:r>
    </w:p>
    <w:p w14:paraId="2472DA7C">
      <w:pPr>
        <w:spacing w:line="360" w:lineRule="auto"/>
        <w:ind w:firstLine="480" w:firstLineChars="200"/>
        <w:jc w:val="left"/>
        <w:rPr>
          <w:rFonts w:ascii="Times New Roman" w:hAnsi="Times New Roman"/>
          <w:color w:val="000000"/>
          <w:sz w:val="24"/>
          <w:szCs w:val="24"/>
        </w:rPr>
      </w:pPr>
      <w:r>
        <w:rPr>
          <w:rFonts w:hint="eastAsia" w:ascii="Times New Roman" w:hAnsi="Times New Roman"/>
          <w:color w:val="000000"/>
          <w:sz w:val="24"/>
          <w:szCs w:val="24"/>
          <w:lang w:eastAsia="zh-CN"/>
        </w:rPr>
        <w:t>（</w:t>
      </w:r>
      <w:r>
        <w:rPr>
          <w:rFonts w:hint="eastAsia" w:ascii="Times New Roman" w:hAnsi="Times New Roman"/>
          <w:color w:val="000000"/>
          <w:sz w:val="24"/>
          <w:szCs w:val="24"/>
          <w:lang w:val="en-US" w:eastAsia="zh-CN"/>
        </w:rPr>
        <w:t>一</w:t>
      </w:r>
      <w:r>
        <w:rPr>
          <w:rFonts w:hint="eastAsia" w:ascii="Times New Roman" w:hAnsi="Times New Roman"/>
          <w:color w:val="000000"/>
          <w:sz w:val="24"/>
          <w:szCs w:val="24"/>
          <w:lang w:eastAsia="zh-CN"/>
        </w:rPr>
        <w:t>）</w:t>
      </w:r>
      <w:r>
        <w:rPr>
          <w:rFonts w:ascii="Times New Roman" w:hAnsi="Times New Roman"/>
          <w:color w:val="000000"/>
          <w:sz w:val="24"/>
          <w:szCs w:val="24"/>
        </w:rPr>
        <w:t>、本工程的</w:t>
      </w:r>
      <w:r>
        <w:rPr>
          <w:rFonts w:hint="eastAsia" w:ascii="Times New Roman" w:hAnsi="Times New Roman"/>
          <w:color w:val="000000"/>
          <w:sz w:val="24"/>
          <w:szCs w:val="24"/>
        </w:rPr>
        <w:t>监测</w:t>
      </w:r>
      <w:r>
        <w:rPr>
          <w:rFonts w:hint="eastAsia" w:ascii="Times New Roman" w:hAnsi="Times New Roman"/>
          <w:color w:val="000000"/>
          <w:sz w:val="24"/>
          <w:szCs w:val="24"/>
          <w:lang w:val="en-US" w:eastAsia="zh-CN"/>
        </w:rPr>
        <w:t>及</w:t>
      </w:r>
      <w:r>
        <w:rPr>
          <w:rFonts w:ascii="Times New Roman" w:hAnsi="Times New Roman"/>
          <w:color w:val="000000"/>
          <w:sz w:val="24"/>
          <w:szCs w:val="24"/>
        </w:rPr>
        <w:t>过程和成果必须符合国家有关工程建设标准强制性条文和交通运输部关于公路</w:t>
      </w:r>
      <w:r>
        <w:rPr>
          <w:rFonts w:hint="eastAsia" w:ascii="Times New Roman" w:hAnsi="Times New Roman"/>
          <w:color w:val="000000"/>
          <w:sz w:val="24"/>
          <w:szCs w:val="24"/>
        </w:rPr>
        <w:t>监测</w:t>
      </w:r>
      <w:r>
        <w:rPr>
          <w:rFonts w:ascii="Times New Roman" w:hAnsi="Times New Roman"/>
          <w:color w:val="000000"/>
          <w:sz w:val="24"/>
          <w:szCs w:val="24"/>
        </w:rPr>
        <w:t>方面现行的标准、规范、规程、办法、示例以及招标项目所在地关于公路工程</w:t>
      </w:r>
      <w:r>
        <w:rPr>
          <w:rFonts w:hint="eastAsia" w:ascii="Times New Roman" w:hAnsi="Times New Roman"/>
          <w:color w:val="000000"/>
          <w:sz w:val="24"/>
          <w:szCs w:val="24"/>
        </w:rPr>
        <w:t>监测</w:t>
      </w:r>
      <w:r>
        <w:rPr>
          <w:rFonts w:hint="eastAsia" w:ascii="Times New Roman" w:hAnsi="Times New Roman"/>
          <w:color w:val="000000"/>
          <w:sz w:val="24"/>
          <w:szCs w:val="24"/>
          <w:lang w:val="en-US" w:eastAsia="zh-CN"/>
        </w:rPr>
        <w:t>及评估</w:t>
      </w:r>
      <w:r>
        <w:rPr>
          <w:rFonts w:ascii="Times New Roman" w:hAnsi="Times New Roman"/>
          <w:color w:val="000000"/>
          <w:sz w:val="24"/>
          <w:szCs w:val="24"/>
        </w:rPr>
        <w:t>方面的</w:t>
      </w:r>
      <w:r>
        <w:rPr>
          <w:rFonts w:ascii="Times New Roman" w:hAnsi="Times New Roman"/>
          <w:sz w:val="24"/>
          <w:szCs w:val="24"/>
        </w:rPr>
        <w:t>文件、规定。</w:t>
      </w:r>
    </w:p>
    <w:p w14:paraId="4B79F004">
      <w:pPr>
        <w:spacing w:line="360" w:lineRule="auto"/>
        <w:ind w:firstLine="480" w:firstLineChars="200"/>
        <w:jc w:val="left"/>
        <w:rPr>
          <w:rFonts w:ascii="Times New Roman" w:hAnsi="Times New Roman"/>
          <w:color w:val="000000"/>
          <w:sz w:val="24"/>
          <w:szCs w:val="24"/>
        </w:rPr>
      </w:pPr>
      <w:r>
        <w:rPr>
          <w:rFonts w:hint="eastAsia" w:ascii="Times New Roman" w:hAnsi="Times New Roman"/>
          <w:color w:val="000000"/>
          <w:sz w:val="24"/>
          <w:szCs w:val="24"/>
          <w:lang w:eastAsia="zh-CN"/>
        </w:rPr>
        <w:t>（</w:t>
      </w:r>
      <w:r>
        <w:rPr>
          <w:rFonts w:hint="eastAsia" w:ascii="Times New Roman" w:hAnsi="Times New Roman"/>
          <w:color w:val="000000"/>
          <w:sz w:val="24"/>
          <w:szCs w:val="24"/>
          <w:lang w:val="en-US" w:eastAsia="zh-CN"/>
        </w:rPr>
        <w:t>二）</w:t>
      </w:r>
      <w:r>
        <w:rPr>
          <w:rFonts w:ascii="Times New Roman" w:hAnsi="Times New Roman"/>
          <w:color w:val="000000"/>
          <w:sz w:val="24"/>
          <w:szCs w:val="24"/>
        </w:rPr>
        <w:t>、在</w:t>
      </w:r>
      <w:r>
        <w:rPr>
          <w:rFonts w:hint="eastAsia" w:ascii="Times New Roman" w:hAnsi="Times New Roman"/>
          <w:color w:val="000000"/>
          <w:sz w:val="24"/>
          <w:szCs w:val="24"/>
        </w:rPr>
        <w:t>监测</w:t>
      </w:r>
      <w:r>
        <w:rPr>
          <w:rFonts w:ascii="Times New Roman" w:hAnsi="Times New Roman"/>
          <w:color w:val="000000"/>
          <w:sz w:val="24"/>
          <w:szCs w:val="24"/>
        </w:rPr>
        <w:t>过程中，如果国家或有关部门颁布了新的技术标准或规范，则</w:t>
      </w:r>
      <w:r>
        <w:rPr>
          <w:rFonts w:hint="eastAsia" w:ascii="Times New Roman" w:hAnsi="Times New Roman"/>
          <w:color w:val="000000"/>
          <w:sz w:val="24"/>
          <w:szCs w:val="24"/>
        </w:rPr>
        <w:t>监测</w:t>
      </w:r>
      <w:r>
        <w:rPr>
          <w:rFonts w:ascii="Times New Roman" w:hAnsi="Times New Roman"/>
          <w:color w:val="000000"/>
          <w:sz w:val="24"/>
          <w:szCs w:val="24"/>
        </w:rPr>
        <w:t>单位应采用新的标准或规范进行</w:t>
      </w:r>
      <w:r>
        <w:rPr>
          <w:rFonts w:hint="eastAsia" w:ascii="Times New Roman" w:hAnsi="Times New Roman"/>
          <w:color w:val="000000"/>
          <w:sz w:val="24"/>
          <w:szCs w:val="24"/>
        </w:rPr>
        <w:t>监测</w:t>
      </w:r>
      <w:r>
        <w:rPr>
          <w:rFonts w:ascii="Times New Roman" w:hAnsi="Times New Roman"/>
          <w:color w:val="000000"/>
          <w:sz w:val="24"/>
          <w:szCs w:val="24"/>
        </w:rPr>
        <w:t>工作。</w:t>
      </w:r>
    </w:p>
    <w:p w14:paraId="24E8B423">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（一）边坡稳定监测工作的主要依据：</w:t>
      </w:r>
    </w:p>
    <w:p w14:paraId="280C9532">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（1）《公路边坡监测技术规程》（ DB42/T 1496-2019）；</w:t>
      </w:r>
    </w:p>
    <w:p w14:paraId="0AF8F6E5">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（2）《公路边坡专业监测试点工作技术指南》 （交办公路函〔 2024〕 1931号） ；</w:t>
      </w:r>
    </w:p>
    <w:p w14:paraId="34210CF1">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（3）《结构健康监测系统设计标准》（ CECS 333： 2012）；</w:t>
      </w:r>
    </w:p>
    <w:p w14:paraId="28B111D5">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（4）《信息安全技术-信息系统通用安全技术要求》（ GB/T20271-2006）；</w:t>
      </w:r>
    </w:p>
    <w:p w14:paraId="29EF0746">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（5）《建筑基坑工程监测技术标准》（ GB 50497-2019）；</w:t>
      </w:r>
    </w:p>
    <w:p w14:paraId="695B1C59">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（6）《建筑变形测量规范》（ JGJ 8-2016）；</w:t>
      </w:r>
    </w:p>
    <w:p w14:paraId="3E98569B">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（7）《工程测量通用规范》（ GB 55018-2021）；</w:t>
      </w:r>
    </w:p>
    <w:p w14:paraId="220A2AA1">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（8）《全球定位系统（ GPS）测量规范》（ GB/T 18314-2009）；</w:t>
      </w:r>
    </w:p>
    <w:p w14:paraId="5A0BE73F">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（9）《降雨量观测仪器》（ GB/T 21978-2014）；</w:t>
      </w:r>
    </w:p>
    <w:p w14:paraId="79554569">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（10）《视频安防监控系统工程设计规范》（ GB 50395-2007）；</w:t>
      </w:r>
    </w:p>
    <w:p w14:paraId="6AB4060A">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（11）《安全防范工程技术标准》（ GB50348-2018）</w:t>
      </w:r>
    </w:p>
    <w:p w14:paraId="740A0ECB">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（12）《建筑物电子信息系统防雷技术规范》（ GB50343-2012）；</w:t>
      </w:r>
    </w:p>
    <w:p w14:paraId="13BC17DE">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（13）《建筑物防雷设计规范》（ GB50057-2010）；</w:t>
      </w:r>
    </w:p>
    <w:p w14:paraId="5D9D14C0">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（14）《综合布线系统工程设计规范》（ GB/T 50311-2016）；</w:t>
      </w:r>
    </w:p>
    <w:p w14:paraId="4DC96C0F">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（15）《低压配电设计规范》（ GB50054-2011）；</w:t>
      </w:r>
    </w:p>
    <w:p w14:paraId="47109521">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（16）自然资源部《地质灾害专群结合监测预警技术指南》；</w:t>
      </w:r>
    </w:p>
    <w:p w14:paraId="5CF744E0">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（17）自然资源部《地质灾害监测通讯技术要求》；</w:t>
      </w:r>
    </w:p>
    <w:p w14:paraId="55FB12F9">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（18）《建筑边坡工程技术规范》（ GB 50330-2013）；</w:t>
      </w:r>
    </w:p>
    <w:p w14:paraId="0F31E4C0">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（19）《公路滑坡防治设计规范》（ JTG/T 3334-2018）89</w:t>
      </w:r>
    </w:p>
    <w:p w14:paraId="2568E5BE">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（20）《滑坡防治设计规范》（ GB∕T38509-2020）；</w:t>
      </w:r>
    </w:p>
    <w:p w14:paraId="2807F362">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（21）《滑坡防治工程勘查规范》（ GB/T32864-2016）；</w:t>
      </w:r>
    </w:p>
    <w:p w14:paraId="171155B6">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（22）《泥石流防治工程设计规范》（ TCAGHP 021-2018）；</w:t>
      </w:r>
    </w:p>
    <w:p w14:paraId="3A9621A2">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（23）《崩塌防治工程勘查规范》（ TCAGHP 011-2018）；</w:t>
      </w:r>
    </w:p>
    <w:p w14:paraId="5B19129C">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（24）《水文仪器可靠性技术要求》（ GB/T 18185-2014）；</w:t>
      </w:r>
    </w:p>
    <w:p w14:paraId="113E596B">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（25）《端接件总规范》（ GB/T15286-1994）；</w:t>
      </w:r>
    </w:p>
    <w:p w14:paraId="18B9BABE">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（26）《计算机软件需求规格说明规范》（ GB/T 9385-2008）；</w:t>
      </w:r>
    </w:p>
    <w:p w14:paraId="65BFC9BD">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（27）《计算机软件可靠性和可维护性管理》（ GB/T 14394-2008）；</w:t>
      </w:r>
    </w:p>
    <w:p w14:paraId="43AFCBF3">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（28）《信息技术软件测量》（ GB/T 18491.5-2010）；</w:t>
      </w:r>
    </w:p>
    <w:p w14:paraId="05D21E34">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（29）《计算机信息系统安全保护等级划分准则》（ GB17859-1999）；</w:t>
      </w:r>
    </w:p>
    <w:p w14:paraId="12513445">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（30）《外壳防护等级（ IP代码）》（ GB/T 4208-2017）。</w:t>
      </w:r>
    </w:p>
    <w:p w14:paraId="02894359">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（31）《全国公路边坡专业监测工作实施方案（ 2024-2030 年）》；</w:t>
      </w:r>
    </w:p>
    <w:p w14:paraId="44E600F7">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（32）《省交通运输厅关于全面加强高速公路监测预警和安全治理工作的通知》（鄂交发〔 2024〕 60 号）；</w:t>
      </w:r>
    </w:p>
    <w:p w14:paraId="02DAD1EF">
      <w:pPr>
        <w:pStyle w:val="20"/>
        <w:spacing w:line="360" w:lineRule="auto"/>
        <w:ind w:firstLine="420" w:firstLineChars="200"/>
        <w:rPr>
          <w:rStyle w:val="25"/>
          <w:rFonts w:hint="eastAsia" w:ascii="Calibri" w:hAnsi="Calibri" w:eastAsia="宋体"/>
          <w:kern w:val="2"/>
          <w:sz w:val="21"/>
          <w:szCs w:val="22"/>
          <w:lang w:val="en-US" w:eastAsia="zh-CN" w:bidi="ar-SA"/>
        </w:rPr>
      </w:pPr>
      <w:r>
        <w:rPr>
          <w:rStyle w:val="25"/>
          <w:rFonts w:hint="eastAsia" w:ascii="Calibri" w:hAnsi="Calibri" w:eastAsia="宋体"/>
          <w:kern w:val="2"/>
          <w:sz w:val="21"/>
          <w:szCs w:val="22"/>
          <w:lang w:val="en-US" w:eastAsia="zh-CN" w:bidi="ar-SA"/>
        </w:rPr>
        <w:t>其他资料或其他相关的标准、规范等。</w:t>
      </w:r>
    </w:p>
    <w:p w14:paraId="5C9410C4">
      <w:pPr>
        <w:widowControl/>
        <w:numPr>
          <w:ilvl w:val="0"/>
          <w:numId w:val="23"/>
        </w:numPr>
        <w:adjustRightInd/>
        <w:spacing w:line="240" w:lineRule="auto"/>
        <w:ind w:firstLine="0" w:firstLineChars="0"/>
        <w:jc w:val="left"/>
        <w:textAlignment w:val="auto"/>
        <w:rPr>
          <w:rFonts w:ascii="Times New Roman" w:hAnsi="Times New Roman"/>
          <w:b/>
          <w:sz w:val="24"/>
          <w:szCs w:val="24"/>
        </w:rPr>
      </w:pPr>
      <w:r>
        <w:rPr>
          <w:rStyle w:val="25"/>
          <w:rFonts w:hint="eastAsia" w:ascii="Calibri" w:hAnsi="Calibri" w:eastAsia="宋体"/>
          <w:kern w:val="2"/>
          <w:sz w:val="21"/>
          <w:szCs w:val="22"/>
          <w:lang w:val="en-US" w:eastAsia="zh-CN" w:bidi="ar-SA"/>
        </w:rPr>
        <w:t>此外还包括其他设计依据和设计基础资料，以及提供图纸及相关说明文档、现场工勘资料。</w:t>
      </w:r>
      <w:r>
        <w:rPr>
          <w:rFonts w:ascii="Times New Roman" w:hAnsi="Times New Roman"/>
          <w:b/>
          <w:sz w:val="24"/>
          <w:szCs w:val="24"/>
        </w:rPr>
        <w:br w:type="page"/>
      </w:r>
    </w:p>
    <w:p w14:paraId="02FC947E">
      <w:pPr>
        <w:widowControl/>
        <w:adjustRightInd w:val="0"/>
        <w:spacing w:line="360" w:lineRule="auto"/>
        <w:jc w:val="left"/>
        <w:textAlignment w:val="bottom"/>
        <w:rPr>
          <w:rFonts w:ascii="Times New Roman" w:hAnsi="Times New Roman"/>
          <w:sz w:val="24"/>
          <w:szCs w:val="24"/>
        </w:rPr>
      </w:pPr>
      <w:r>
        <w:rPr>
          <w:rFonts w:ascii="Times New Roman" w:hAnsi="Times New Roman"/>
          <w:b/>
          <w:sz w:val="24"/>
          <w:szCs w:val="24"/>
        </w:rPr>
        <w:t>附件2：廉政合同格式</w:t>
      </w:r>
    </w:p>
    <w:p w14:paraId="7084455E">
      <w:pPr>
        <w:widowControl/>
        <w:adjustRightInd w:val="0"/>
        <w:spacing w:line="360" w:lineRule="auto"/>
        <w:jc w:val="center"/>
        <w:textAlignment w:val="bottom"/>
        <w:rPr>
          <w:rFonts w:ascii="Times New Roman" w:hAnsi="Times New Roman"/>
          <w:sz w:val="24"/>
          <w:szCs w:val="24"/>
        </w:rPr>
      </w:pPr>
      <w:r>
        <w:rPr>
          <w:rFonts w:ascii="Times New Roman" w:hAnsi="Times New Roman"/>
          <w:sz w:val="24"/>
          <w:szCs w:val="24"/>
        </w:rPr>
        <w:t>廉政合同</w:t>
      </w:r>
    </w:p>
    <w:p w14:paraId="75C4A326">
      <w:pPr>
        <w:widowControl/>
        <w:adjustRightInd w:val="0"/>
        <w:spacing w:before="120" w:beforeLines="50" w:after="120" w:afterLines="50" w:line="360" w:lineRule="auto"/>
        <w:jc w:val="center"/>
        <w:textAlignment w:val="bottom"/>
        <w:rPr>
          <w:rFonts w:ascii="Times New Roman" w:hAnsi="Times New Roman"/>
          <w:sz w:val="24"/>
          <w:szCs w:val="24"/>
        </w:rPr>
      </w:pPr>
      <w:r>
        <w:rPr>
          <w:rFonts w:ascii="Times New Roman" w:hAnsi="Times New Roman"/>
          <w:sz w:val="24"/>
          <w:szCs w:val="24"/>
        </w:rPr>
        <w:t>（本格式编排在招标文件中，供投标人参考，投标时不需填附）</w:t>
      </w:r>
    </w:p>
    <w:p w14:paraId="7991CFE3">
      <w:pPr>
        <w:spacing w:line="360" w:lineRule="auto"/>
        <w:ind w:firstLine="480" w:firstLineChars="200"/>
        <w:rPr>
          <w:rFonts w:ascii="Times New Roman" w:hAnsi="Times New Roman"/>
          <w:sz w:val="24"/>
          <w:szCs w:val="24"/>
        </w:rPr>
      </w:pPr>
      <w:r>
        <w:rPr>
          <w:rFonts w:ascii="Times New Roman" w:hAnsi="Times New Roman"/>
          <w:sz w:val="24"/>
          <w:szCs w:val="24"/>
        </w:rPr>
        <w:t>根据交通运输部《关于在交通基础设施建设中加强廉政建设的若干意见》以及有关工程建设、廉政建设的规定，为做好</w:t>
      </w:r>
      <w:r>
        <w:rPr>
          <w:rFonts w:ascii="Times New Roman" w:hAnsi="Times New Roman"/>
          <w:sz w:val="24"/>
          <w:szCs w:val="24"/>
          <w:u w:val="single"/>
        </w:rPr>
        <w:t xml:space="preserve">       </w:t>
      </w:r>
      <w:r>
        <w:rPr>
          <w:rFonts w:ascii="Times New Roman" w:hAnsi="Times New Roman"/>
          <w:sz w:val="24"/>
          <w:szCs w:val="24"/>
        </w:rPr>
        <w:t>工作的党风廉政建设，</w:t>
      </w:r>
      <w:r>
        <w:rPr>
          <w:rFonts w:ascii="Times New Roman" w:hAnsi="Times New Roman"/>
          <w:sz w:val="24"/>
          <w:szCs w:val="24"/>
          <w:u w:val="single"/>
        </w:rPr>
        <w:t xml:space="preserve">       （以下称</w:t>
      </w:r>
      <w:r>
        <w:rPr>
          <w:rFonts w:hint="eastAsia" w:ascii="Times New Roman" w:hAnsi="Times New Roman"/>
          <w:sz w:val="24"/>
          <w:szCs w:val="24"/>
          <w:u w:val="single"/>
        </w:rPr>
        <w:t>发包人</w:t>
      </w:r>
      <w:r>
        <w:rPr>
          <w:rFonts w:ascii="Times New Roman" w:hAnsi="Times New Roman"/>
          <w:sz w:val="24"/>
          <w:szCs w:val="24"/>
          <w:u w:val="single"/>
        </w:rPr>
        <w:t>）</w:t>
      </w:r>
      <w:r>
        <w:rPr>
          <w:rFonts w:ascii="Times New Roman" w:hAnsi="Times New Roman"/>
          <w:sz w:val="24"/>
          <w:szCs w:val="24"/>
        </w:rPr>
        <w:t>与</w:t>
      </w:r>
      <w:r>
        <w:rPr>
          <w:rFonts w:ascii="Times New Roman" w:hAnsi="Times New Roman"/>
          <w:sz w:val="24"/>
          <w:szCs w:val="24"/>
          <w:u w:val="single"/>
        </w:rPr>
        <w:t>（承包人全称）       （</w:t>
      </w:r>
      <w:r>
        <w:rPr>
          <w:rFonts w:ascii="Times New Roman" w:hAnsi="Times New Roman"/>
          <w:sz w:val="24"/>
          <w:szCs w:val="24"/>
        </w:rPr>
        <w:t>以下称</w:t>
      </w:r>
      <w:r>
        <w:rPr>
          <w:rFonts w:hint="eastAsia" w:ascii="Times New Roman" w:hAnsi="Times New Roman"/>
          <w:sz w:val="24"/>
          <w:szCs w:val="24"/>
        </w:rPr>
        <w:t>承包人</w:t>
      </w:r>
      <w:r>
        <w:rPr>
          <w:rFonts w:ascii="Times New Roman" w:hAnsi="Times New Roman"/>
          <w:sz w:val="24"/>
          <w:szCs w:val="24"/>
        </w:rPr>
        <w:t>），特订立如下合同。</w:t>
      </w:r>
    </w:p>
    <w:p w14:paraId="7271294D">
      <w:pPr>
        <w:spacing w:line="360" w:lineRule="auto"/>
        <w:ind w:firstLine="480" w:firstLineChars="200"/>
        <w:rPr>
          <w:rFonts w:ascii="Times New Roman" w:hAnsi="Times New Roman"/>
          <w:sz w:val="24"/>
          <w:szCs w:val="24"/>
        </w:rPr>
      </w:pPr>
      <w:r>
        <w:rPr>
          <w:rFonts w:ascii="Times New Roman" w:hAnsi="Times New Roman"/>
          <w:sz w:val="24"/>
          <w:szCs w:val="24"/>
        </w:rPr>
        <w:t xml:space="preserve">第一条  </w:t>
      </w:r>
      <w:r>
        <w:rPr>
          <w:rFonts w:hint="eastAsia" w:ascii="Times New Roman" w:hAnsi="Times New Roman"/>
          <w:sz w:val="24"/>
          <w:szCs w:val="24"/>
        </w:rPr>
        <w:t>发包人与承包人</w:t>
      </w:r>
      <w:r>
        <w:rPr>
          <w:rFonts w:ascii="Times New Roman" w:hAnsi="Times New Roman"/>
          <w:sz w:val="24"/>
          <w:szCs w:val="24"/>
        </w:rPr>
        <w:t>双方的权利和义务</w:t>
      </w:r>
    </w:p>
    <w:p w14:paraId="445F4872">
      <w:pPr>
        <w:spacing w:line="360" w:lineRule="auto"/>
        <w:ind w:firstLine="480" w:firstLineChars="200"/>
        <w:rPr>
          <w:rFonts w:ascii="Times New Roman" w:hAnsi="Times New Roman"/>
          <w:sz w:val="24"/>
          <w:szCs w:val="24"/>
        </w:rPr>
      </w:pPr>
      <w:r>
        <w:rPr>
          <w:rFonts w:ascii="Times New Roman" w:hAnsi="Times New Roman"/>
          <w:sz w:val="24"/>
          <w:szCs w:val="24"/>
        </w:rPr>
        <w:t>（一） 严格遵守党和国家有关法律法规及交通运输部的有关规定。</w:t>
      </w:r>
    </w:p>
    <w:p w14:paraId="44170DE8">
      <w:pPr>
        <w:spacing w:line="360" w:lineRule="auto"/>
        <w:ind w:firstLine="480" w:firstLineChars="200"/>
        <w:rPr>
          <w:rFonts w:ascii="Times New Roman" w:hAnsi="Times New Roman"/>
          <w:sz w:val="24"/>
          <w:szCs w:val="24"/>
        </w:rPr>
      </w:pPr>
      <w:r>
        <w:rPr>
          <w:rFonts w:ascii="Times New Roman" w:hAnsi="Times New Roman"/>
          <w:sz w:val="24"/>
          <w:szCs w:val="24"/>
        </w:rPr>
        <w:t>（二） 严格执行</w:t>
      </w:r>
      <w:r>
        <w:rPr>
          <w:rFonts w:ascii="Times New Roman" w:hAnsi="Times New Roman"/>
          <w:sz w:val="24"/>
          <w:szCs w:val="24"/>
          <w:u w:val="single"/>
        </w:rPr>
        <w:t xml:space="preserve">             （项目名称）</w:t>
      </w:r>
      <w:r>
        <w:rPr>
          <w:rFonts w:ascii="Times New Roman" w:hAnsi="Times New Roman"/>
          <w:sz w:val="24"/>
          <w:szCs w:val="24"/>
        </w:rPr>
        <w:t>合同文件，自觉按合同办事。</w:t>
      </w:r>
    </w:p>
    <w:p w14:paraId="2B912B91">
      <w:pPr>
        <w:spacing w:line="360" w:lineRule="auto"/>
        <w:ind w:firstLine="480" w:firstLineChars="200"/>
        <w:rPr>
          <w:rFonts w:ascii="Times New Roman" w:hAnsi="Times New Roman"/>
          <w:sz w:val="24"/>
          <w:szCs w:val="24"/>
        </w:rPr>
      </w:pPr>
      <w:r>
        <w:rPr>
          <w:rFonts w:ascii="Times New Roman" w:hAnsi="Times New Roman"/>
          <w:sz w:val="24"/>
          <w:szCs w:val="24"/>
        </w:rPr>
        <w:t>（三） 双方的业务活动坚持公开、公正、诚信、透明的原则（除法律认定的商业秘密和合同文件另有规定之外），不得损害国家和集体利益，违反工程建设和交通工程</w:t>
      </w:r>
      <w:r>
        <w:rPr>
          <w:rFonts w:hint="eastAsia" w:ascii="Times New Roman" w:hAnsi="Times New Roman"/>
          <w:sz w:val="24"/>
          <w:szCs w:val="24"/>
        </w:rPr>
        <w:t>监测</w:t>
      </w:r>
      <w:r>
        <w:rPr>
          <w:rFonts w:ascii="Times New Roman" w:hAnsi="Times New Roman"/>
          <w:sz w:val="24"/>
          <w:szCs w:val="24"/>
        </w:rPr>
        <w:t>管理规章制度。</w:t>
      </w:r>
    </w:p>
    <w:p w14:paraId="7B89D42D">
      <w:pPr>
        <w:spacing w:line="360" w:lineRule="auto"/>
        <w:ind w:firstLine="480" w:firstLineChars="200"/>
        <w:rPr>
          <w:rFonts w:ascii="Times New Roman" w:hAnsi="Times New Roman"/>
          <w:sz w:val="24"/>
          <w:szCs w:val="24"/>
        </w:rPr>
      </w:pPr>
      <w:r>
        <w:rPr>
          <w:rFonts w:ascii="Times New Roman" w:hAnsi="Times New Roman"/>
          <w:sz w:val="24"/>
          <w:szCs w:val="24"/>
        </w:rPr>
        <w:t>（四） 建立健全廉政制度，开展廉政教育，设立廉政告示牌，公布举报电话，监督并认真查处违法违纪行为。</w:t>
      </w:r>
    </w:p>
    <w:p w14:paraId="104C6617">
      <w:pPr>
        <w:spacing w:line="360" w:lineRule="auto"/>
        <w:ind w:firstLine="480" w:firstLineChars="200"/>
        <w:rPr>
          <w:rFonts w:ascii="Times New Roman" w:hAnsi="Times New Roman"/>
          <w:sz w:val="24"/>
          <w:szCs w:val="24"/>
        </w:rPr>
      </w:pPr>
      <w:r>
        <w:rPr>
          <w:rFonts w:ascii="Times New Roman" w:hAnsi="Times New Roman"/>
          <w:sz w:val="24"/>
          <w:szCs w:val="24"/>
        </w:rPr>
        <w:t>（五） 发现对方在业务活动中有违反廉政规定的行为，有及时提醒对方纠正的权利和义务。</w:t>
      </w:r>
    </w:p>
    <w:p w14:paraId="369A011F">
      <w:pPr>
        <w:spacing w:line="360" w:lineRule="auto"/>
        <w:ind w:firstLine="480" w:firstLineChars="200"/>
        <w:rPr>
          <w:rFonts w:ascii="Times New Roman" w:hAnsi="Times New Roman"/>
          <w:sz w:val="24"/>
          <w:szCs w:val="24"/>
        </w:rPr>
      </w:pPr>
      <w:r>
        <w:rPr>
          <w:rFonts w:ascii="Times New Roman" w:hAnsi="Times New Roman"/>
          <w:sz w:val="24"/>
          <w:szCs w:val="24"/>
        </w:rPr>
        <w:t>（六） 发现对方严重违反本合同义务条款的行为，有向其上级有关部门举报、建议给予处理并要求告知处理结果的权利。</w:t>
      </w:r>
    </w:p>
    <w:p w14:paraId="13FBFBE9">
      <w:pPr>
        <w:spacing w:line="360" w:lineRule="auto"/>
        <w:ind w:firstLine="480" w:firstLineChars="200"/>
        <w:rPr>
          <w:rFonts w:ascii="Times New Roman" w:hAnsi="Times New Roman"/>
          <w:sz w:val="24"/>
          <w:szCs w:val="24"/>
        </w:rPr>
      </w:pPr>
      <w:r>
        <w:rPr>
          <w:rFonts w:ascii="Times New Roman" w:hAnsi="Times New Roman"/>
          <w:sz w:val="24"/>
          <w:szCs w:val="24"/>
        </w:rPr>
        <w:t>第二条  发包人的义务</w:t>
      </w:r>
    </w:p>
    <w:p w14:paraId="2C204806">
      <w:pPr>
        <w:spacing w:line="360" w:lineRule="auto"/>
        <w:ind w:firstLine="480" w:firstLineChars="200"/>
        <w:rPr>
          <w:rFonts w:ascii="Times New Roman" w:hAnsi="Times New Roman"/>
          <w:sz w:val="24"/>
          <w:szCs w:val="24"/>
        </w:rPr>
      </w:pPr>
      <w:r>
        <w:rPr>
          <w:rFonts w:ascii="Times New Roman" w:hAnsi="Times New Roman"/>
          <w:sz w:val="24"/>
          <w:szCs w:val="24"/>
        </w:rPr>
        <w:t>（一） 发包人及其工作人员不得索要或接受承包人的礼金、有价证券和贵重物品，不得在承包人报销任何应由发包人或个人支付的费用等。</w:t>
      </w:r>
    </w:p>
    <w:p w14:paraId="1AD5BB67">
      <w:pPr>
        <w:spacing w:line="360" w:lineRule="auto"/>
        <w:ind w:firstLine="480" w:firstLineChars="200"/>
        <w:rPr>
          <w:rFonts w:ascii="Times New Roman" w:hAnsi="Times New Roman"/>
          <w:sz w:val="24"/>
          <w:szCs w:val="24"/>
        </w:rPr>
      </w:pPr>
      <w:r>
        <w:rPr>
          <w:rFonts w:ascii="Times New Roman" w:hAnsi="Times New Roman"/>
          <w:sz w:val="24"/>
          <w:szCs w:val="24"/>
        </w:rPr>
        <w:t xml:space="preserve">（二） </w:t>
      </w:r>
      <w:r>
        <w:rPr>
          <w:rFonts w:hint="eastAsia" w:ascii="Times New Roman" w:hAnsi="Times New Roman"/>
          <w:sz w:val="24"/>
          <w:szCs w:val="24"/>
        </w:rPr>
        <w:t>发包人</w:t>
      </w:r>
      <w:r>
        <w:rPr>
          <w:rFonts w:ascii="Times New Roman" w:hAnsi="Times New Roman"/>
          <w:sz w:val="24"/>
          <w:szCs w:val="24"/>
        </w:rPr>
        <w:t>工作人员不得参加</w:t>
      </w:r>
      <w:r>
        <w:rPr>
          <w:rFonts w:hint="eastAsia" w:ascii="Times New Roman" w:hAnsi="Times New Roman"/>
          <w:sz w:val="24"/>
          <w:szCs w:val="24"/>
        </w:rPr>
        <w:t>承包人</w:t>
      </w:r>
      <w:r>
        <w:rPr>
          <w:rFonts w:ascii="Times New Roman" w:hAnsi="Times New Roman"/>
          <w:sz w:val="24"/>
          <w:szCs w:val="24"/>
        </w:rPr>
        <w:t>安排的超标准宴请和娱乐活动；不得接受承包人提供的通讯工具、交通工具和高档办公用品等。</w:t>
      </w:r>
    </w:p>
    <w:p w14:paraId="55B1FC78">
      <w:pPr>
        <w:spacing w:line="360" w:lineRule="auto"/>
        <w:ind w:firstLine="480" w:firstLineChars="200"/>
        <w:rPr>
          <w:rFonts w:ascii="Times New Roman" w:hAnsi="Times New Roman"/>
          <w:sz w:val="24"/>
          <w:szCs w:val="24"/>
        </w:rPr>
      </w:pPr>
      <w:r>
        <w:rPr>
          <w:rFonts w:ascii="Times New Roman" w:hAnsi="Times New Roman"/>
          <w:sz w:val="24"/>
          <w:szCs w:val="24"/>
        </w:rPr>
        <w:t>（三） 发包人及其工作人员不得要求或者接受承包人为其住房装修、婚丧嫁娶活动、配偶子女的工作安排以及出国出境、旅游等提供方便等。</w:t>
      </w:r>
    </w:p>
    <w:p w14:paraId="06E43CC6">
      <w:pPr>
        <w:spacing w:line="360" w:lineRule="auto"/>
        <w:ind w:firstLine="480" w:firstLineChars="200"/>
        <w:rPr>
          <w:rFonts w:ascii="Times New Roman" w:hAnsi="Times New Roman"/>
          <w:sz w:val="24"/>
          <w:szCs w:val="24"/>
        </w:rPr>
      </w:pPr>
      <w:r>
        <w:rPr>
          <w:rFonts w:ascii="Times New Roman" w:hAnsi="Times New Roman"/>
          <w:sz w:val="24"/>
          <w:szCs w:val="24"/>
        </w:rPr>
        <w:t>（四） 发包人工作人员的配偶、子女不得从事与发包人工程有关的项目管理分包项目。</w:t>
      </w:r>
    </w:p>
    <w:p w14:paraId="60C5DDBE">
      <w:pPr>
        <w:spacing w:line="360" w:lineRule="auto"/>
        <w:ind w:firstLine="480" w:firstLineChars="200"/>
        <w:rPr>
          <w:rFonts w:ascii="Times New Roman" w:hAnsi="Times New Roman"/>
          <w:sz w:val="24"/>
          <w:szCs w:val="24"/>
        </w:rPr>
      </w:pPr>
      <w:r>
        <w:rPr>
          <w:rFonts w:ascii="Times New Roman" w:hAnsi="Times New Roman"/>
          <w:sz w:val="24"/>
          <w:szCs w:val="24"/>
        </w:rPr>
        <w:t>（五） 发包人工作人员要秉公办事，不准营私舞弊，不准利用职权从事各种个人有偿中介活动和安排个人队伍。</w:t>
      </w:r>
    </w:p>
    <w:p w14:paraId="6A163B13">
      <w:pPr>
        <w:spacing w:line="360" w:lineRule="auto"/>
        <w:ind w:firstLine="480" w:firstLineChars="200"/>
        <w:rPr>
          <w:rFonts w:ascii="Times New Roman" w:hAnsi="Times New Roman"/>
          <w:sz w:val="24"/>
          <w:szCs w:val="24"/>
        </w:rPr>
      </w:pPr>
      <w:r>
        <w:rPr>
          <w:rFonts w:ascii="Times New Roman" w:hAnsi="Times New Roman"/>
          <w:sz w:val="24"/>
          <w:szCs w:val="24"/>
        </w:rPr>
        <w:t>第三条  承包人义务</w:t>
      </w:r>
    </w:p>
    <w:p w14:paraId="5D8C6860">
      <w:pPr>
        <w:spacing w:line="360" w:lineRule="auto"/>
        <w:ind w:firstLine="480" w:firstLineChars="200"/>
        <w:rPr>
          <w:rFonts w:ascii="Times New Roman" w:hAnsi="Times New Roman"/>
          <w:sz w:val="24"/>
          <w:szCs w:val="24"/>
        </w:rPr>
      </w:pPr>
      <w:r>
        <w:rPr>
          <w:rFonts w:ascii="Times New Roman" w:hAnsi="Times New Roman"/>
          <w:sz w:val="24"/>
          <w:szCs w:val="24"/>
        </w:rPr>
        <w:t>（一） 承包人不得以任何理由向发包人及其工作人员行贿或馈赠礼金、有价证券、贵重礼品。</w:t>
      </w:r>
    </w:p>
    <w:p w14:paraId="6ACC5859">
      <w:pPr>
        <w:spacing w:line="360" w:lineRule="auto"/>
        <w:ind w:firstLine="480" w:firstLineChars="200"/>
        <w:rPr>
          <w:rFonts w:ascii="Times New Roman" w:hAnsi="Times New Roman"/>
          <w:sz w:val="24"/>
          <w:szCs w:val="24"/>
        </w:rPr>
      </w:pPr>
      <w:r>
        <w:rPr>
          <w:rFonts w:ascii="Times New Roman" w:hAnsi="Times New Roman"/>
          <w:sz w:val="24"/>
          <w:szCs w:val="24"/>
        </w:rPr>
        <w:t>（二） 承包人不得以任何名义为发包人及其工作人员报销应由发包人单位或个人支付的任何费用。</w:t>
      </w:r>
    </w:p>
    <w:p w14:paraId="3110BA86">
      <w:pPr>
        <w:spacing w:line="360" w:lineRule="auto"/>
        <w:ind w:firstLine="480" w:firstLineChars="200"/>
        <w:rPr>
          <w:rFonts w:ascii="Times New Roman" w:hAnsi="Times New Roman"/>
          <w:sz w:val="24"/>
          <w:szCs w:val="24"/>
        </w:rPr>
      </w:pPr>
      <w:r>
        <w:rPr>
          <w:rFonts w:ascii="Times New Roman" w:hAnsi="Times New Roman"/>
          <w:sz w:val="24"/>
          <w:szCs w:val="24"/>
        </w:rPr>
        <w:t>（三） 承包人不得以任何理由安排发包人工作人员参加超标准宴请及娱乐活动。</w:t>
      </w:r>
    </w:p>
    <w:p w14:paraId="2CEAE650">
      <w:pPr>
        <w:spacing w:line="360" w:lineRule="auto"/>
        <w:ind w:firstLine="480" w:firstLineChars="200"/>
        <w:rPr>
          <w:rFonts w:ascii="Times New Roman" w:hAnsi="Times New Roman"/>
          <w:sz w:val="24"/>
          <w:szCs w:val="24"/>
        </w:rPr>
      </w:pPr>
      <w:r>
        <w:rPr>
          <w:rFonts w:ascii="Times New Roman" w:hAnsi="Times New Roman"/>
          <w:sz w:val="24"/>
          <w:szCs w:val="24"/>
        </w:rPr>
        <w:t>（四） 承包人不得为发包人单位和个人购置或提供通讯工具、交通工具和高档办公用品等。</w:t>
      </w:r>
    </w:p>
    <w:p w14:paraId="0CBAF4E8">
      <w:pPr>
        <w:spacing w:line="360" w:lineRule="auto"/>
        <w:ind w:firstLine="480" w:firstLineChars="200"/>
        <w:rPr>
          <w:rFonts w:ascii="Times New Roman" w:hAnsi="Times New Roman"/>
          <w:sz w:val="24"/>
          <w:szCs w:val="24"/>
        </w:rPr>
      </w:pPr>
      <w:r>
        <w:rPr>
          <w:rFonts w:ascii="Times New Roman" w:hAnsi="Times New Roman"/>
          <w:sz w:val="24"/>
          <w:szCs w:val="24"/>
        </w:rPr>
        <w:t>（五） 承包人及其工作人员不得索取或接受项目法人、监理单位、施工单位的礼金、有价证券和贵重物品，不得要求报销任何应由承包人或个人支付的费用。</w:t>
      </w:r>
    </w:p>
    <w:p w14:paraId="27B65616">
      <w:pPr>
        <w:spacing w:line="360" w:lineRule="auto"/>
        <w:ind w:firstLine="480" w:firstLineChars="200"/>
        <w:rPr>
          <w:rFonts w:ascii="Times New Roman" w:hAnsi="Times New Roman"/>
          <w:sz w:val="24"/>
          <w:szCs w:val="24"/>
        </w:rPr>
      </w:pPr>
      <w:r>
        <w:rPr>
          <w:rFonts w:ascii="Times New Roman" w:hAnsi="Times New Roman"/>
          <w:sz w:val="24"/>
          <w:szCs w:val="24"/>
        </w:rPr>
        <w:t>（六） 承包人及其工作人员必须严格按照项目管理和</w:t>
      </w:r>
      <w:r>
        <w:rPr>
          <w:rFonts w:hint="eastAsia" w:ascii="Times New Roman" w:hAnsi="Times New Roman"/>
          <w:sz w:val="24"/>
          <w:szCs w:val="24"/>
        </w:rPr>
        <w:t>监测</w:t>
      </w:r>
      <w:r>
        <w:rPr>
          <w:rFonts w:ascii="Times New Roman" w:hAnsi="Times New Roman"/>
          <w:sz w:val="24"/>
          <w:szCs w:val="24"/>
        </w:rPr>
        <w:t>规程办事，不得与项目法人、监理单位、施工单位串通，损害国家利益和发包人利益。</w:t>
      </w:r>
    </w:p>
    <w:p w14:paraId="1127329B">
      <w:pPr>
        <w:spacing w:line="360" w:lineRule="auto"/>
        <w:ind w:firstLine="480" w:firstLineChars="200"/>
        <w:rPr>
          <w:rFonts w:ascii="Times New Roman" w:hAnsi="Times New Roman"/>
          <w:sz w:val="24"/>
          <w:szCs w:val="24"/>
        </w:rPr>
      </w:pPr>
      <w:r>
        <w:rPr>
          <w:rFonts w:ascii="Times New Roman" w:hAnsi="Times New Roman"/>
          <w:sz w:val="24"/>
          <w:szCs w:val="24"/>
        </w:rPr>
        <w:t>第四条  违约责任</w:t>
      </w:r>
    </w:p>
    <w:p w14:paraId="59147C67">
      <w:pPr>
        <w:spacing w:line="360" w:lineRule="auto"/>
        <w:ind w:firstLine="480" w:firstLineChars="200"/>
        <w:rPr>
          <w:rFonts w:ascii="Times New Roman" w:hAnsi="Times New Roman"/>
          <w:sz w:val="24"/>
          <w:szCs w:val="24"/>
        </w:rPr>
      </w:pPr>
      <w:r>
        <w:rPr>
          <w:rFonts w:ascii="Times New Roman" w:hAnsi="Times New Roman"/>
          <w:sz w:val="24"/>
          <w:szCs w:val="24"/>
        </w:rPr>
        <w:t>（一） 发包人及其工作人员违反本合同第一、二条，按管理权限，依据有关规定给予党纪、政纪或组织处理；涉嫌犯罪的，移交司法机关追究刑事责任；给承包人单位造成经济损失的，应予以赔偿。</w:t>
      </w:r>
    </w:p>
    <w:p w14:paraId="3E73A8AD">
      <w:pPr>
        <w:spacing w:line="360" w:lineRule="auto"/>
        <w:ind w:firstLine="480" w:firstLineChars="200"/>
        <w:rPr>
          <w:rFonts w:ascii="Times New Roman" w:hAnsi="Times New Roman"/>
          <w:sz w:val="24"/>
          <w:szCs w:val="24"/>
        </w:rPr>
      </w:pPr>
      <w:r>
        <w:rPr>
          <w:rFonts w:ascii="Times New Roman" w:hAnsi="Times New Roman"/>
          <w:sz w:val="24"/>
          <w:szCs w:val="24"/>
        </w:rPr>
        <w:t>（二） 承包人及其工作人员违反本合同第一、三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067152BD">
      <w:pPr>
        <w:spacing w:line="360" w:lineRule="auto"/>
        <w:ind w:firstLine="480" w:firstLineChars="200"/>
        <w:rPr>
          <w:rFonts w:ascii="Times New Roman" w:hAnsi="Times New Roman"/>
          <w:sz w:val="24"/>
          <w:szCs w:val="24"/>
        </w:rPr>
      </w:pPr>
      <w:r>
        <w:rPr>
          <w:rFonts w:ascii="Times New Roman" w:hAnsi="Times New Roman"/>
          <w:sz w:val="24"/>
          <w:szCs w:val="24"/>
        </w:rPr>
        <w:t>第五条  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p>
    <w:p w14:paraId="712374B5">
      <w:pPr>
        <w:spacing w:line="360" w:lineRule="auto"/>
        <w:ind w:firstLine="480" w:firstLineChars="200"/>
        <w:rPr>
          <w:rFonts w:ascii="Times New Roman" w:hAnsi="Times New Roman"/>
          <w:sz w:val="24"/>
          <w:szCs w:val="24"/>
        </w:rPr>
      </w:pPr>
      <w:r>
        <w:rPr>
          <w:rFonts w:ascii="Times New Roman" w:hAnsi="Times New Roman"/>
          <w:sz w:val="24"/>
          <w:szCs w:val="24"/>
        </w:rPr>
        <w:t>第六条  本合同有效期为</w:t>
      </w:r>
      <w:r>
        <w:rPr>
          <w:rFonts w:hint="eastAsia" w:ascii="Times New Roman" w:hAnsi="Times New Roman"/>
          <w:sz w:val="24"/>
          <w:szCs w:val="24"/>
        </w:rPr>
        <w:t>发包人与承包人</w:t>
      </w:r>
      <w:r>
        <w:rPr>
          <w:rFonts w:ascii="Times New Roman" w:hAnsi="Times New Roman"/>
          <w:sz w:val="24"/>
          <w:szCs w:val="24"/>
        </w:rPr>
        <w:t>双方签署之日起至该工程项目</w:t>
      </w:r>
      <w:r>
        <w:rPr>
          <w:rFonts w:hint="eastAsia" w:ascii="Times New Roman" w:hAnsi="Times New Roman"/>
          <w:sz w:val="24"/>
          <w:szCs w:val="24"/>
          <w:lang w:val="en-US" w:eastAsia="zh-CN"/>
        </w:rPr>
        <w:t>服务完</w:t>
      </w:r>
      <w:r>
        <w:rPr>
          <w:rFonts w:ascii="Times New Roman" w:hAnsi="Times New Roman"/>
          <w:sz w:val="24"/>
          <w:szCs w:val="24"/>
        </w:rPr>
        <w:t>止。</w:t>
      </w:r>
    </w:p>
    <w:p w14:paraId="3A12DA4D">
      <w:pPr>
        <w:spacing w:line="360" w:lineRule="auto"/>
        <w:ind w:firstLine="480" w:firstLineChars="200"/>
        <w:rPr>
          <w:rFonts w:ascii="Times New Roman" w:hAnsi="Times New Roman"/>
          <w:sz w:val="24"/>
          <w:szCs w:val="24"/>
        </w:rPr>
      </w:pPr>
      <w:r>
        <w:rPr>
          <w:rFonts w:ascii="Times New Roman" w:hAnsi="Times New Roman"/>
          <w:sz w:val="24"/>
          <w:szCs w:val="24"/>
        </w:rPr>
        <w:t>第七条  本合同作为</w:t>
      </w:r>
      <w:r>
        <w:rPr>
          <w:rFonts w:ascii="Times New Roman" w:hAnsi="Times New Roman"/>
          <w:sz w:val="24"/>
          <w:szCs w:val="24"/>
          <w:u w:val="single"/>
        </w:rPr>
        <w:t xml:space="preserve">             （项目名称）</w:t>
      </w:r>
      <w:r>
        <w:rPr>
          <w:rFonts w:ascii="Times New Roman" w:hAnsi="Times New Roman"/>
          <w:sz w:val="24"/>
          <w:szCs w:val="24"/>
        </w:rPr>
        <w:t>合同的附件，具有同等的法律效力，经合同双方签署立即生效。</w:t>
      </w:r>
    </w:p>
    <w:p w14:paraId="0FEE4CAB">
      <w:pPr>
        <w:tabs>
          <w:tab w:val="left" w:pos="0"/>
        </w:tabs>
        <w:spacing w:line="360" w:lineRule="auto"/>
        <w:ind w:left="420"/>
        <w:rPr>
          <w:rFonts w:ascii="Times New Roman" w:hAnsi="Times New Roman"/>
          <w:sz w:val="24"/>
          <w:szCs w:val="24"/>
        </w:rPr>
      </w:pPr>
      <w:r>
        <w:rPr>
          <w:rFonts w:ascii="Times New Roman" w:hAnsi="Times New Roman"/>
          <w:sz w:val="24"/>
          <w:szCs w:val="24"/>
        </w:rPr>
        <w:t>第八条  本合同</w:t>
      </w:r>
      <w:r>
        <w:rPr>
          <w:rFonts w:hint="eastAsia" w:ascii="Times New Roman" w:hAnsi="Times New Roman"/>
          <w:sz w:val="24"/>
          <w:szCs w:val="24"/>
        </w:rPr>
        <w:t>发包人与承包人</w:t>
      </w:r>
      <w:r>
        <w:rPr>
          <w:rFonts w:ascii="Times New Roman" w:hAnsi="Times New Roman"/>
          <w:sz w:val="24"/>
          <w:szCs w:val="24"/>
        </w:rPr>
        <w:t>双方各执</w:t>
      </w:r>
      <w:r>
        <w:rPr>
          <w:rFonts w:hint="eastAsia" w:ascii="Times New Roman" w:hAnsi="Times New Roman"/>
          <w:sz w:val="24"/>
          <w:szCs w:val="24"/>
        </w:rPr>
        <w:t>四</w:t>
      </w:r>
      <w:r>
        <w:rPr>
          <w:rFonts w:ascii="Times New Roman" w:hAnsi="Times New Roman"/>
          <w:sz w:val="24"/>
          <w:szCs w:val="24"/>
        </w:rPr>
        <w:t>份，送交双方监督单位一份。</w:t>
      </w:r>
    </w:p>
    <w:p w14:paraId="7C6AAB45">
      <w:pPr>
        <w:widowControl/>
        <w:autoSpaceDE w:val="0"/>
        <w:autoSpaceDN w:val="0"/>
        <w:spacing w:line="360" w:lineRule="auto"/>
        <w:ind w:left="480"/>
        <w:textAlignment w:val="bottom"/>
        <w:rPr>
          <w:rFonts w:ascii="Times New Roman" w:hAnsi="Times New Roman"/>
          <w:sz w:val="24"/>
          <w:szCs w:val="24"/>
        </w:rPr>
      </w:pPr>
    </w:p>
    <w:p w14:paraId="18C4B75D">
      <w:pPr>
        <w:snapToGrid w:val="0"/>
        <w:spacing w:line="360" w:lineRule="auto"/>
        <w:rPr>
          <w:rFonts w:ascii="Times New Roman" w:hAnsi="Times New Roman"/>
          <w:sz w:val="24"/>
          <w:szCs w:val="24"/>
        </w:rPr>
      </w:pPr>
      <w:r>
        <w:rPr>
          <w:rFonts w:hint="eastAsia" w:ascii="Times New Roman" w:hAnsi="Times New Roman"/>
          <w:sz w:val="24"/>
          <w:szCs w:val="24"/>
        </w:rPr>
        <w:t>发包人</w:t>
      </w:r>
      <w:r>
        <w:rPr>
          <w:rFonts w:ascii="Times New Roman" w:hAnsi="Times New Roman"/>
          <w:sz w:val="24"/>
          <w:szCs w:val="24"/>
        </w:rPr>
        <w:t xml:space="preserve"> ：</w:t>
      </w:r>
      <w:r>
        <w:rPr>
          <w:rFonts w:ascii="Times New Roman" w:hAnsi="Times New Roman"/>
          <w:sz w:val="24"/>
          <w:szCs w:val="24"/>
          <w:u w:val="single"/>
        </w:rPr>
        <w:t>（单位全称）  （盖章）</w:t>
      </w:r>
      <w:r>
        <w:rPr>
          <w:rFonts w:ascii="Times New Roman" w:hAnsi="Times New Roman"/>
          <w:sz w:val="24"/>
          <w:szCs w:val="24"/>
        </w:rPr>
        <w:t xml:space="preserve">      </w:t>
      </w:r>
      <w:r>
        <w:rPr>
          <w:rFonts w:hint="eastAsia" w:ascii="Times New Roman" w:hAnsi="Times New Roman"/>
          <w:sz w:val="24"/>
          <w:szCs w:val="24"/>
        </w:rPr>
        <w:t>承包人</w:t>
      </w:r>
      <w:r>
        <w:rPr>
          <w:rFonts w:ascii="Times New Roman" w:hAnsi="Times New Roman"/>
          <w:sz w:val="24"/>
          <w:szCs w:val="24"/>
        </w:rPr>
        <w:t xml:space="preserve">： </w:t>
      </w:r>
      <w:r>
        <w:rPr>
          <w:rFonts w:ascii="Times New Roman" w:hAnsi="Times New Roman"/>
          <w:sz w:val="24"/>
          <w:szCs w:val="24"/>
          <w:u w:val="single"/>
        </w:rPr>
        <w:t xml:space="preserve"> （单位全称） （盖章） </w:t>
      </w:r>
    </w:p>
    <w:p w14:paraId="67C1A77F">
      <w:pPr>
        <w:snapToGrid w:val="0"/>
        <w:spacing w:line="360" w:lineRule="auto"/>
        <w:rPr>
          <w:rFonts w:ascii="Times New Roman" w:hAnsi="Times New Roman"/>
          <w:sz w:val="24"/>
          <w:szCs w:val="24"/>
        </w:rPr>
      </w:pPr>
      <w:r>
        <w:rPr>
          <w:rFonts w:ascii="Times New Roman" w:hAnsi="Times New Roman"/>
          <w:sz w:val="24"/>
          <w:szCs w:val="24"/>
        </w:rPr>
        <w:t>法定代表人                          法定代表人</w:t>
      </w:r>
    </w:p>
    <w:p w14:paraId="7417330D">
      <w:pPr>
        <w:snapToGrid w:val="0"/>
        <w:spacing w:line="360" w:lineRule="auto"/>
        <w:rPr>
          <w:rFonts w:ascii="Times New Roman" w:hAnsi="Times New Roman"/>
          <w:sz w:val="24"/>
          <w:szCs w:val="24"/>
        </w:rPr>
      </w:pPr>
      <w:r>
        <w:rPr>
          <w:rFonts w:ascii="Times New Roman" w:hAnsi="Times New Roman"/>
          <w:sz w:val="24"/>
          <w:szCs w:val="24"/>
        </w:rPr>
        <w:t xml:space="preserve">        或                                  或</w:t>
      </w:r>
    </w:p>
    <w:p w14:paraId="1F58891D">
      <w:pPr>
        <w:snapToGrid w:val="0"/>
        <w:spacing w:line="360" w:lineRule="auto"/>
        <w:rPr>
          <w:rFonts w:ascii="Times New Roman" w:hAnsi="Times New Roman"/>
          <w:sz w:val="24"/>
          <w:szCs w:val="24"/>
          <w:u w:val="single"/>
        </w:rPr>
      </w:pPr>
      <w:r>
        <w:rPr>
          <w:rFonts w:ascii="Times New Roman" w:hAnsi="Times New Roman"/>
          <w:sz w:val="24"/>
          <w:szCs w:val="24"/>
        </w:rPr>
        <w:t xml:space="preserve">其授权的代理人 </w:t>
      </w:r>
      <w:r>
        <w:rPr>
          <w:rFonts w:ascii="Times New Roman" w:hAnsi="Times New Roman"/>
          <w:sz w:val="24"/>
          <w:szCs w:val="24"/>
          <w:u w:val="single"/>
        </w:rPr>
        <w:t xml:space="preserve">  （签字）  </w:t>
      </w:r>
      <w:r>
        <w:rPr>
          <w:rFonts w:ascii="Times New Roman" w:hAnsi="Times New Roman"/>
          <w:sz w:val="24"/>
          <w:szCs w:val="24"/>
        </w:rPr>
        <w:t xml:space="preserve">         其授权的代理人 </w:t>
      </w:r>
      <w:r>
        <w:rPr>
          <w:rFonts w:ascii="Times New Roman" w:hAnsi="Times New Roman"/>
          <w:sz w:val="24"/>
          <w:szCs w:val="24"/>
          <w:u w:val="single"/>
        </w:rPr>
        <w:t xml:space="preserve">  （签字）  </w:t>
      </w:r>
    </w:p>
    <w:p w14:paraId="752F06F2">
      <w:pPr>
        <w:widowControl/>
        <w:autoSpaceDE w:val="0"/>
        <w:autoSpaceDN w:val="0"/>
        <w:spacing w:line="360" w:lineRule="auto"/>
        <w:textAlignment w:val="bottom"/>
        <w:rPr>
          <w:rFonts w:ascii="Times New Roman" w:hAnsi="Times New Roman"/>
          <w:sz w:val="24"/>
          <w:szCs w:val="24"/>
        </w:rPr>
      </w:pPr>
      <w:r>
        <w:rPr>
          <w:rFonts w:ascii="Times New Roman" w:hAnsi="Times New Roman"/>
          <w:sz w:val="24"/>
          <w:szCs w:val="24"/>
        </w:rPr>
        <w:t>日期：                              日期：</w:t>
      </w:r>
    </w:p>
    <w:p w14:paraId="2399B52A">
      <w:pPr>
        <w:spacing w:line="360" w:lineRule="auto"/>
        <w:rPr>
          <w:rFonts w:ascii="Times New Roman" w:hAnsi="Times New Roman"/>
          <w:sz w:val="24"/>
          <w:szCs w:val="24"/>
          <w:u w:val="single"/>
        </w:rPr>
      </w:pPr>
      <w:r>
        <w:rPr>
          <w:rFonts w:ascii="Times New Roman" w:hAnsi="Times New Roman"/>
          <w:sz w:val="24"/>
          <w:szCs w:val="24"/>
        </w:rPr>
        <w:t>发包人监督单位：</w:t>
      </w:r>
      <w:r>
        <w:rPr>
          <w:rFonts w:ascii="Times New Roman" w:hAnsi="Times New Roman"/>
          <w:sz w:val="24"/>
          <w:szCs w:val="24"/>
          <w:u w:val="single"/>
        </w:rPr>
        <w:t xml:space="preserve">  （全称） （盖章）</w:t>
      </w:r>
      <w:r>
        <w:rPr>
          <w:rFonts w:ascii="Times New Roman" w:hAnsi="Times New Roman"/>
          <w:sz w:val="24"/>
          <w:szCs w:val="24"/>
        </w:rPr>
        <w:t xml:space="preserve">  承包人监督单位：</w:t>
      </w:r>
      <w:r>
        <w:rPr>
          <w:rFonts w:ascii="Times New Roman" w:hAnsi="Times New Roman"/>
          <w:sz w:val="24"/>
          <w:szCs w:val="24"/>
          <w:u w:val="single"/>
        </w:rPr>
        <w:t xml:space="preserve">  （全称） （盖章）</w:t>
      </w:r>
    </w:p>
    <w:p w14:paraId="102E0A51">
      <w:pPr>
        <w:widowControl/>
        <w:autoSpaceDE w:val="0"/>
        <w:autoSpaceDN w:val="0"/>
        <w:spacing w:line="360" w:lineRule="auto"/>
        <w:textAlignment w:val="bottom"/>
        <w:rPr>
          <w:rFonts w:ascii="Times New Roman" w:hAnsi="Times New Roman"/>
          <w:sz w:val="24"/>
          <w:szCs w:val="24"/>
        </w:rPr>
      </w:pPr>
    </w:p>
    <w:p w14:paraId="196F2A96">
      <w:pPr>
        <w:spacing w:line="360" w:lineRule="auto"/>
        <w:jc w:val="left"/>
        <w:outlineLvl w:val="0"/>
        <w:rPr>
          <w:rFonts w:ascii="Times New Roman" w:hAnsi="Times New Roman"/>
          <w:sz w:val="24"/>
          <w:szCs w:val="24"/>
        </w:rPr>
      </w:pPr>
      <w:r>
        <w:rPr>
          <w:rFonts w:ascii="Times New Roman" w:hAnsi="Times New Roman"/>
          <w:spacing w:val="30"/>
          <w:sz w:val="24"/>
          <w:szCs w:val="24"/>
        </w:rPr>
        <w:br w:type="page"/>
      </w:r>
      <w:r>
        <w:rPr>
          <w:rFonts w:ascii="Times New Roman" w:hAnsi="Times New Roman"/>
          <w:b/>
          <w:sz w:val="24"/>
          <w:szCs w:val="24"/>
        </w:rPr>
        <w:t>附件3：履约保函格式</w:t>
      </w:r>
    </w:p>
    <w:p w14:paraId="49E35E88">
      <w:pPr>
        <w:spacing w:line="360" w:lineRule="auto"/>
        <w:jc w:val="center"/>
        <w:rPr>
          <w:rFonts w:ascii="Times New Roman" w:hAnsi="Times New Roman"/>
          <w:sz w:val="24"/>
          <w:szCs w:val="24"/>
        </w:rPr>
      </w:pPr>
      <w:r>
        <w:rPr>
          <w:rFonts w:ascii="Times New Roman" w:hAnsi="Times New Roman"/>
          <w:sz w:val="24"/>
          <w:szCs w:val="24"/>
        </w:rPr>
        <w:t>履约保函</w:t>
      </w:r>
    </w:p>
    <w:p w14:paraId="25AAE039">
      <w:pPr>
        <w:spacing w:before="120" w:beforeLines="50" w:after="120" w:afterLines="50" w:line="360" w:lineRule="auto"/>
        <w:jc w:val="center"/>
        <w:rPr>
          <w:rFonts w:ascii="Times New Roman" w:hAnsi="Times New Roman"/>
          <w:sz w:val="24"/>
          <w:szCs w:val="24"/>
        </w:rPr>
      </w:pPr>
      <w:r>
        <w:rPr>
          <w:rFonts w:ascii="Times New Roman" w:hAnsi="Times New Roman"/>
          <w:sz w:val="24"/>
          <w:szCs w:val="24"/>
        </w:rPr>
        <w:t>（本格式编排在招标文件中，供投标人参考，投标时不需填写）</w:t>
      </w:r>
    </w:p>
    <w:p w14:paraId="3292B690">
      <w:pPr>
        <w:spacing w:line="400" w:lineRule="atLeas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 xml:space="preserve">  </w:t>
      </w:r>
      <w:r>
        <w:rPr>
          <w:rFonts w:ascii="Times New Roman" w:hAnsi="Times New Roman"/>
          <w:sz w:val="24"/>
          <w:szCs w:val="24"/>
        </w:rPr>
        <w:t>（委托人名称）：</w:t>
      </w:r>
    </w:p>
    <w:p w14:paraId="22BBA219">
      <w:pPr>
        <w:spacing w:line="400" w:lineRule="atLeast"/>
        <w:rPr>
          <w:rFonts w:ascii="Times New Roman" w:hAnsi="Times New Roman"/>
          <w:sz w:val="24"/>
          <w:szCs w:val="24"/>
        </w:rPr>
      </w:pPr>
    </w:p>
    <w:p w14:paraId="64F6B37C">
      <w:pPr>
        <w:spacing w:line="400" w:lineRule="atLeast"/>
        <w:ind w:firstLine="600" w:firstLineChars="250"/>
        <w:rPr>
          <w:rFonts w:ascii="Times New Roman" w:hAnsi="Times New Roman"/>
          <w:sz w:val="24"/>
          <w:szCs w:val="24"/>
        </w:rPr>
      </w:pPr>
      <w:r>
        <w:rPr>
          <w:rFonts w:ascii="Times New Roman" w:hAnsi="Times New Roman"/>
          <w:sz w:val="24"/>
          <w:szCs w:val="24"/>
        </w:rPr>
        <w:t>鉴于</w:t>
      </w:r>
      <w:r>
        <w:rPr>
          <w:rFonts w:ascii="Times New Roman" w:hAnsi="Times New Roman"/>
          <w:sz w:val="24"/>
          <w:szCs w:val="24"/>
          <w:u w:val="single"/>
        </w:rPr>
        <w:t xml:space="preserve">                </w:t>
      </w:r>
      <w:r>
        <w:rPr>
          <w:rFonts w:ascii="Times New Roman" w:hAnsi="Times New Roman"/>
          <w:sz w:val="24"/>
          <w:szCs w:val="24"/>
        </w:rPr>
        <w:t>（委托人名称，以下简称“委托人”）接受</w:t>
      </w:r>
      <w:r>
        <w:rPr>
          <w:rFonts w:ascii="Times New Roman" w:hAnsi="Times New Roman"/>
          <w:sz w:val="24"/>
          <w:szCs w:val="24"/>
          <w:u w:val="single"/>
        </w:rPr>
        <w:t xml:space="preserve">        </w:t>
      </w:r>
      <w:r>
        <w:rPr>
          <w:rFonts w:ascii="Times New Roman" w:hAnsi="Times New Roman"/>
          <w:sz w:val="24"/>
          <w:szCs w:val="24"/>
        </w:rPr>
        <w:t>（</w:t>
      </w:r>
      <w:r>
        <w:rPr>
          <w:rFonts w:hint="eastAsia" w:ascii="Times New Roman" w:hAnsi="Times New Roman"/>
          <w:sz w:val="24"/>
          <w:szCs w:val="24"/>
        </w:rPr>
        <w:t>承包人</w:t>
      </w:r>
      <w:r>
        <w:rPr>
          <w:rFonts w:ascii="Times New Roman" w:hAnsi="Times New Roman"/>
          <w:sz w:val="24"/>
          <w:szCs w:val="24"/>
        </w:rPr>
        <w:t>名称）于</w:t>
      </w:r>
      <w:r>
        <w:rPr>
          <w:rFonts w:ascii="Times New Roman" w:hAnsi="Times New Roman"/>
          <w:sz w:val="24"/>
          <w:szCs w:val="24"/>
          <w:u w:val="single"/>
        </w:rPr>
        <w:t xml:space="preserve">    </w:t>
      </w:r>
      <w:r>
        <w:rPr>
          <w:rFonts w:ascii="Times New Roman" w:hAnsi="Times New Roman"/>
          <w:sz w:val="24"/>
          <w:szCs w:val="24"/>
        </w:rPr>
        <w:t>年</w:t>
      </w:r>
      <w:r>
        <w:rPr>
          <w:rFonts w:ascii="Times New Roman" w:hAnsi="Times New Roman"/>
          <w:sz w:val="24"/>
          <w:szCs w:val="24"/>
          <w:u w:val="single"/>
        </w:rPr>
        <w:t xml:space="preserve">   </w:t>
      </w:r>
      <w:r>
        <w:rPr>
          <w:rFonts w:ascii="Times New Roman" w:hAnsi="Times New Roman"/>
          <w:sz w:val="24"/>
          <w:szCs w:val="24"/>
        </w:rPr>
        <w:t>月</w:t>
      </w:r>
      <w:r>
        <w:rPr>
          <w:rFonts w:ascii="Times New Roman" w:hAnsi="Times New Roman"/>
          <w:sz w:val="24"/>
          <w:szCs w:val="24"/>
          <w:u w:val="single"/>
        </w:rPr>
        <w:t xml:space="preserve">   </w:t>
      </w:r>
      <w:r>
        <w:rPr>
          <w:rFonts w:ascii="Times New Roman" w:hAnsi="Times New Roman"/>
          <w:sz w:val="24"/>
          <w:szCs w:val="24"/>
        </w:rPr>
        <w:t>日参加</w:t>
      </w:r>
      <w:r>
        <w:rPr>
          <w:rFonts w:ascii="Times New Roman" w:hAnsi="Times New Roman"/>
          <w:sz w:val="24"/>
          <w:szCs w:val="24"/>
          <w:u w:val="single"/>
        </w:rPr>
        <w:t xml:space="preserve">         </w:t>
      </w:r>
      <w:r>
        <w:rPr>
          <w:rFonts w:ascii="Times New Roman" w:hAnsi="Times New Roman"/>
          <w:sz w:val="24"/>
          <w:szCs w:val="24"/>
        </w:rPr>
        <w:t>（项目名称）</w:t>
      </w:r>
      <w:r>
        <w:rPr>
          <w:rFonts w:ascii="Times New Roman" w:hAnsi="Times New Roman"/>
          <w:sz w:val="24"/>
          <w:szCs w:val="24"/>
          <w:u w:val="single"/>
        </w:rPr>
        <w:t xml:space="preserve">    </w:t>
      </w:r>
      <w:r>
        <w:rPr>
          <w:rFonts w:ascii="Times New Roman" w:hAnsi="Times New Roman"/>
          <w:sz w:val="24"/>
          <w:szCs w:val="24"/>
        </w:rPr>
        <w:t>标段的投标。我方愿意无条件地、不可撤销地就</w:t>
      </w:r>
      <w:r>
        <w:rPr>
          <w:rFonts w:hint="eastAsia" w:ascii="Times New Roman" w:hAnsi="Times New Roman"/>
          <w:sz w:val="24"/>
          <w:szCs w:val="24"/>
        </w:rPr>
        <w:t>承包人</w:t>
      </w:r>
      <w:r>
        <w:rPr>
          <w:rFonts w:ascii="Times New Roman" w:hAnsi="Times New Roman"/>
          <w:sz w:val="24"/>
          <w:szCs w:val="24"/>
        </w:rPr>
        <w:t>履行与你方订立的合同，向你方提供担保。</w:t>
      </w:r>
    </w:p>
    <w:p w14:paraId="6D88F1C6">
      <w:pPr>
        <w:spacing w:line="400" w:lineRule="atLeast"/>
        <w:ind w:firstLine="480" w:firstLineChars="200"/>
        <w:rPr>
          <w:rFonts w:ascii="Times New Roman" w:hAnsi="Times New Roman"/>
          <w:sz w:val="24"/>
          <w:szCs w:val="24"/>
        </w:rPr>
      </w:pPr>
      <w:r>
        <w:rPr>
          <w:rFonts w:ascii="Times New Roman" w:hAnsi="Times New Roman"/>
          <w:sz w:val="24"/>
          <w:szCs w:val="24"/>
        </w:rPr>
        <w:t>1. 担保金额人民币（大写）</w:t>
      </w:r>
      <w:r>
        <w:rPr>
          <w:rFonts w:ascii="Times New Roman" w:hAnsi="Times New Roman"/>
          <w:sz w:val="24"/>
          <w:szCs w:val="24"/>
          <w:u w:val="single"/>
        </w:rPr>
        <w:t xml:space="preserve">                </w:t>
      </w:r>
      <w:r>
        <w:rPr>
          <w:rFonts w:ascii="Times New Roman" w:hAnsi="Times New Roman"/>
          <w:sz w:val="24"/>
          <w:szCs w:val="24"/>
        </w:rPr>
        <w:t xml:space="preserve"> 元（¥</w:t>
      </w:r>
      <w:r>
        <w:rPr>
          <w:rFonts w:ascii="Times New Roman" w:hAnsi="Times New Roman"/>
          <w:sz w:val="24"/>
          <w:szCs w:val="24"/>
          <w:u w:val="single"/>
        </w:rPr>
        <w:t xml:space="preserve">             </w:t>
      </w:r>
      <w:r>
        <w:rPr>
          <w:rFonts w:ascii="Times New Roman" w:hAnsi="Times New Roman"/>
          <w:sz w:val="24"/>
          <w:szCs w:val="24"/>
        </w:rPr>
        <w:t>）。</w:t>
      </w:r>
    </w:p>
    <w:p w14:paraId="4644C6F0">
      <w:pPr>
        <w:spacing w:line="400" w:lineRule="atLeast"/>
        <w:ind w:firstLine="480" w:firstLineChars="200"/>
        <w:rPr>
          <w:rFonts w:ascii="Times New Roman" w:hAnsi="Times New Roman"/>
          <w:sz w:val="24"/>
          <w:szCs w:val="24"/>
        </w:rPr>
      </w:pPr>
      <w:r>
        <w:rPr>
          <w:rFonts w:ascii="Times New Roman" w:hAnsi="Times New Roman"/>
          <w:sz w:val="24"/>
          <w:szCs w:val="24"/>
        </w:rPr>
        <w:t>2. 担保有效期自委托人与</w:t>
      </w:r>
      <w:r>
        <w:rPr>
          <w:rFonts w:hint="eastAsia" w:ascii="Times New Roman" w:hAnsi="Times New Roman"/>
          <w:sz w:val="24"/>
          <w:szCs w:val="24"/>
        </w:rPr>
        <w:t>承包人</w:t>
      </w:r>
      <w:r>
        <w:rPr>
          <w:rFonts w:ascii="Times New Roman" w:hAnsi="Times New Roman"/>
          <w:sz w:val="24"/>
          <w:szCs w:val="24"/>
        </w:rPr>
        <w:t>签订的合同生效之日起至</w:t>
      </w:r>
      <w:r>
        <w:rPr>
          <w:rFonts w:hint="eastAsia" w:ascii="Times New Roman" w:hAnsi="Times New Roman"/>
          <w:sz w:val="24"/>
          <w:szCs w:val="24"/>
          <w:lang w:val="en-US" w:eastAsia="zh-CN"/>
        </w:rPr>
        <w:t>本项目试运营期高边坡监测服务期满之日</w:t>
      </w:r>
      <w:r>
        <w:rPr>
          <w:rFonts w:hint="eastAsia" w:ascii="Times New Roman" w:hAnsi="Times New Roman"/>
          <w:sz w:val="24"/>
          <w:szCs w:val="24"/>
        </w:rPr>
        <w:t>一直有效</w:t>
      </w:r>
      <w:r>
        <w:rPr>
          <w:rFonts w:ascii="Times New Roman" w:hAnsi="Times New Roman"/>
          <w:sz w:val="24"/>
          <w:szCs w:val="24"/>
        </w:rPr>
        <w:t>。</w:t>
      </w:r>
    </w:p>
    <w:p w14:paraId="1FE6F011">
      <w:pPr>
        <w:spacing w:line="400" w:lineRule="atLeast"/>
        <w:ind w:firstLine="480" w:firstLineChars="200"/>
        <w:rPr>
          <w:rFonts w:ascii="Times New Roman" w:hAnsi="Times New Roman"/>
          <w:sz w:val="24"/>
          <w:szCs w:val="24"/>
        </w:rPr>
      </w:pPr>
      <w:r>
        <w:rPr>
          <w:rFonts w:ascii="Times New Roman" w:hAnsi="Times New Roman"/>
          <w:sz w:val="24"/>
          <w:szCs w:val="24"/>
        </w:rPr>
        <w:t>3. 在本担保有效期内，因</w:t>
      </w:r>
      <w:r>
        <w:rPr>
          <w:rFonts w:hint="eastAsia" w:ascii="Times New Roman" w:hAnsi="Times New Roman"/>
          <w:sz w:val="24"/>
          <w:szCs w:val="24"/>
        </w:rPr>
        <w:t>承包人</w:t>
      </w:r>
      <w:r>
        <w:rPr>
          <w:rFonts w:ascii="Times New Roman" w:hAnsi="Times New Roman"/>
          <w:sz w:val="24"/>
          <w:szCs w:val="24"/>
        </w:rPr>
        <w:t>违反合同约定的义务给你方造成经济损失时，我方在收到你方以书面形式提出的在担保金额内的赔偿要求后，在7天内无条件支付，无须你方出具证明或陈述理由。</w:t>
      </w:r>
    </w:p>
    <w:p w14:paraId="2D02F6F1">
      <w:pPr>
        <w:spacing w:line="400" w:lineRule="atLeast"/>
        <w:ind w:firstLine="480" w:firstLineChars="200"/>
        <w:rPr>
          <w:rFonts w:ascii="Times New Roman" w:hAnsi="Times New Roman"/>
          <w:sz w:val="24"/>
          <w:szCs w:val="24"/>
        </w:rPr>
      </w:pPr>
      <w:r>
        <w:rPr>
          <w:rFonts w:ascii="Times New Roman" w:hAnsi="Times New Roman"/>
          <w:sz w:val="24"/>
          <w:szCs w:val="24"/>
        </w:rPr>
        <w:t>4. 委托人和</w:t>
      </w:r>
      <w:r>
        <w:rPr>
          <w:rFonts w:hint="eastAsia" w:ascii="Times New Roman" w:hAnsi="Times New Roman"/>
          <w:sz w:val="24"/>
          <w:szCs w:val="24"/>
        </w:rPr>
        <w:t>承包人</w:t>
      </w:r>
      <w:r>
        <w:rPr>
          <w:rFonts w:ascii="Times New Roman" w:hAnsi="Times New Roman"/>
          <w:sz w:val="24"/>
          <w:szCs w:val="24"/>
        </w:rPr>
        <w:t>按合同条款变更合同时，我方承担本担保规定的义务不变。</w:t>
      </w:r>
    </w:p>
    <w:p w14:paraId="23E88E47">
      <w:pPr>
        <w:spacing w:line="400" w:lineRule="atLeast"/>
        <w:rPr>
          <w:rFonts w:ascii="Times New Roman" w:hAnsi="Times New Roman"/>
          <w:sz w:val="24"/>
          <w:szCs w:val="24"/>
        </w:rPr>
      </w:pPr>
    </w:p>
    <w:p w14:paraId="6121BC83">
      <w:pPr>
        <w:spacing w:line="400" w:lineRule="atLeast"/>
        <w:rPr>
          <w:rFonts w:ascii="Times New Roman" w:hAnsi="Times New Roman"/>
          <w:sz w:val="24"/>
          <w:szCs w:val="24"/>
        </w:rPr>
      </w:pPr>
    </w:p>
    <w:p w14:paraId="4D063690">
      <w:pPr>
        <w:spacing w:line="400" w:lineRule="atLeast"/>
        <w:jc w:val="right"/>
        <w:rPr>
          <w:rFonts w:ascii="Times New Roman" w:hAnsi="Times New Roman"/>
          <w:sz w:val="24"/>
          <w:szCs w:val="24"/>
        </w:rPr>
      </w:pPr>
      <w:r>
        <w:rPr>
          <w:rFonts w:ascii="Times New Roman" w:hAnsi="Times New Roman"/>
          <w:sz w:val="24"/>
          <w:szCs w:val="24"/>
        </w:rPr>
        <w:t>担 保 人：</w:t>
      </w:r>
      <w:r>
        <w:rPr>
          <w:rFonts w:ascii="Times New Roman" w:hAnsi="Times New Roman"/>
          <w:sz w:val="24"/>
          <w:szCs w:val="24"/>
          <w:u w:val="single"/>
        </w:rPr>
        <w:t xml:space="preserve">                       </w:t>
      </w:r>
      <w:r>
        <w:rPr>
          <w:rFonts w:ascii="Times New Roman" w:hAnsi="Times New Roman"/>
          <w:sz w:val="24"/>
          <w:szCs w:val="24"/>
        </w:rPr>
        <w:t>（盖单位章）</w:t>
      </w:r>
    </w:p>
    <w:p w14:paraId="41FAA57F">
      <w:pPr>
        <w:spacing w:line="400" w:lineRule="atLeast"/>
        <w:jc w:val="right"/>
        <w:rPr>
          <w:rFonts w:ascii="Times New Roman" w:hAnsi="Times New Roman"/>
          <w:sz w:val="24"/>
          <w:szCs w:val="24"/>
        </w:rPr>
      </w:pPr>
      <w:r>
        <w:rPr>
          <w:rFonts w:ascii="Times New Roman" w:hAnsi="Times New Roman"/>
          <w:sz w:val="24"/>
          <w:szCs w:val="24"/>
        </w:rPr>
        <w:t>法定代表人或其委托代理人：</w:t>
      </w:r>
      <w:r>
        <w:rPr>
          <w:rFonts w:ascii="Times New Roman" w:hAnsi="Times New Roman"/>
          <w:sz w:val="24"/>
          <w:szCs w:val="24"/>
          <w:u w:val="single"/>
        </w:rPr>
        <w:t xml:space="preserve">           </w:t>
      </w:r>
      <w:r>
        <w:rPr>
          <w:rFonts w:ascii="Times New Roman" w:hAnsi="Times New Roman"/>
          <w:sz w:val="24"/>
          <w:szCs w:val="24"/>
        </w:rPr>
        <w:t>（签字）</w:t>
      </w:r>
    </w:p>
    <w:p w14:paraId="7ECE3DDD">
      <w:pPr>
        <w:spacing w:line="400" w:lineRule="atLeast"/>
        <w:jc w:val="right"/>
        <w:rPr>
          <w:rFonts w:ascii="Times New Roman" w:hAnsi="Times New Roman"/>
          <w:sz w:val="24"/>
          <w:szCs w:val="24"/>
        </w:rPr>
      </w:pPr>
      <w:r>
        <w:rPr>
          <w:rFonts w:ascii="Times New Roman" w:hAnsi="Times New Roman"/>
          <w:sz w:val="24"/>
          <w:szCs w:val="24"/>
        </w:rPr>
        <w:t>地    址：</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14:paraId="5BD5665F">
      <w:pPr>
        <w:spacing w:line="400" w:lineRule="atLeast"/>
        <w:jc w:val="right"/>
        <w:rPr>
          <w:rFonts w:ascii="Times New Roman" w:hAnsi="Times New Roman"/>
          <w:sz w:val="24"/>
          <w:szCs w:val="24"/>
        </w:rPr>
      </w:pPr>
      <w:r>
        <w:rPr>
          <w:rFonts w:ascii="Times New Roman" w:hAnsi="Times New Roman"/>
          <w:sz w:val="24"/>
          <w:szCs w:val="24"/>
        </w:rPr>
        <w:t>邮政编码：</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14:paraId="75AC9F12">
      <w:pPr>
        <w:spacing w:line="400" w:lineRule="atLeast"/>
        <w:jc w:val="right"/>
        <w:rPr>
          <w:rFonts w:ascii="Times New Roman" w:hAnsi="Times New Roman"/>
          <w:sz w:val="24"/>
          <w:szCs w:val="24"/>
        </w:rPr>
      </w:pPr>
      <w:r>
        <w:rPr>
          <w:rFonts w:ascii="Times New Roman" w:hAnsi="Times New Roman"/>
          <w:sz w:val="24"/>
          <w:szCs w:val="24"/>
        </w:rPr>
        <w:t>电    话：</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14:paraId="125C9D52">
      <w:pPr>
        <w:spacing w:line="400" w:lineRule="atLeast"/>
        <w:jc w:val="right"/>
        <w:rPr>
          <w:rFonts w:ascii="Times New Roman" w:hAnsi="Times New Roman"/>
          <w:sz w:val="24"/>
          <w:szCs w:val="24"/>
        </w:rPr>
      </w:pPr>
      <w:r>
        <w:rPr>
          <w:rFonts w:ascii="Times New Roman" w:hAnsi="Times New Roman"/>
          <w:sz w:val="24"/>
          <w:szCs w:val="24"/>
        </w:rPr>
        <w:t>传    真：</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p>
    <w:p w14:paraId="6A7DFCC9">
      <w:pPr>
        <w:spacing w:line="400" w:lineRule="atLeast"/>
        <w:ind w:firstLine="4216" w:firstLineChars="1757"/>
        <w:jc w:val="right"/>
        <w:rPr>
          <w:rFonts w:ascii="Times New Roman" w:hAnsi="Times New Roman"/>
          <w:sz w:val="24"/>
          <w:szCs w:val="24"/>
        </w:rPr>
      </w:pPr>
      <w:r>
        <w:rPr>
          <w:rFonts w:ascii="Times New Roman" w:hAnsi="Times New Roman"/>
          <w:sz w:val="24"/>
          <w:szCs w:val="24"/>
          <w:u w:val="single"/>
        </w:rPr>
        <w:t xml:space="preserve">       </w:t>
      </w:r>
      <w:r>
        <w:rPr>
          <w:rFonts w:ascii="Times New Roman" w:hAnsi="Times New Roman"/>
          <w:sz w:val="24"/>
          <w:szCs w:val="24"/>
        </w:rPr>
        <w:t xml:space="preserve"> 年</w:t>
      </w:r>
      <w:r>
        <w:rPr>
          <w:rFonts w:ascii="Times New Roman" w:hAnsi="Times New Roman"/>
          <w:sz w:val="24"/>
          <w:szCs w:val="24"/>
          <w:u w:val="single"/>
        </w:rPr>
        <w:t xml:space="preserve">      </w:t>
      </w:r>
      <w:r>
        <w:rPr>
          <w:rFonts w:ascii="Times New Roman" w:hAnsi="Times New Roman"/>
          <w:sz w:val="24"/>
          <w:szCs w:val="24"/>
        </w:rPr>
        <w:t xml:space="preserve">月 </w:t>
      </w:r>
      <w:r>
        <w:rPr>
          <w:rFonts w:ascii="Times New Roman" w:hAnsi="Times New Roman"/>
          <w:sz w:val="24"/>
          <w:szCs w:val="24"/>
          <w:u w:val="single"/>
        </w:rPr>
        <w:t xml:space="preserve">     </w:t>
      </w:r>
      <w:r>
        <w:rPr>
          <w:rFonts w:ascii="Times New Roman" w:hAnsi="Times New Roman"/>
          <w:sz w:val="24"/>
          <w:szCs w:val="24"/>
        </w:rPr>
        <w:t>日</w:t>
      </w:r>
    </w:p>
    <w:p w14:paraId="34BA784B">
      <w:pPr>
        <w:rPr>
          <w:rFonts w:ascii="Times New Roman" w:hAnsi="Times New Roman"/>
          <w:sz w:val="18"/>
          <w:szCs w:val="21"/>
        </w:rPr>
      </w:pPr>
    </w:p>
    <w:p w14:paraId="20B4C1AA">
      <w:pPr>
        <w:widowControl/>
        <w:jc w:val="left"/>
        <w:rPr>
          <w:rFonts w:ascii="Times New Roman" w:hAnsi="Times New Roman"/>
          <w:sz w:val="20"/>
          <w:szCs w:val="21"/>
        </w:rPr>
      </w:pPr>
      <w:r>
        <w:rPr>
          <w:rFonts w:ascii="Times New Roman" w:hAnsi="Times New Roman"/>
          <w:sz w:val="20"/>
          <w:szCs w:val="21"/>
        </w:rPr>
        <w:br w:type="page"/>
      </w:r>
    </w:p>
    <w:p w14:paraId="7DE468DE">
      <w:pPr>
        <w:spacing w:line="400" w:lineRule="atLeast"/>
        <w:jc w:val="left"/>
        <w:rPr>
          <w:rFonts w:ascii="Times New Roman" w:hAnsi="Times New Roman"/>
          <w:sz w:val="24"/>
          <w:szCs w:val="24"/>
        </w:rPr>
      </w:pPr>
      <w:r>
        <w:rPr>
          <w:rFonts w:ascii="Times New Roman" w:hAnsi="Times New Roman"/>
          <w:b/>
          <w:sz w:val="24"/>
          <w:szCs w:val="24"/>
        </w:rPr>
        <w:t>附件4：其他人员最低要求</w:t>
      </w:r>
    </w:p>
    <w:p w14:paraId="6166DA11">
      <w:pPr>
        <w:spacing w:line="400" w:lineRule="atLeast"/>
        <w:jc w:val="center"/>
        <w:rPr>
          <w:rFonts w:ascii="Times New Roman" w:hAnsi="Times New Roman"/>
          <w:szCs w:val="21"/>
        </w:rPr>
      </w:pPr>
      <w:r>
        <w:rPr>
          <w:rFonts w:ascii="Times New Roman" w:hAnsi="Times New Roman" w:eastAsia="黑体"/>
          <w:sz w:val="24"/>
          <w:szCs w:val="24"/>
        </w:rPr>
        <w:t>其他人员最低要求</w:t>
      </w:r>
    </w:p>
    <w:p w14:paraId="1C3BE287">
      <w:pPr>
        <w:widowControl/>
        <w:autoSpaceDE w:val="0"/>
        <w:autoSpaceDN w:val="0"/>
        <w:spacing w:line="400" w:lineRule="atLeast"/>
        <w:jc w:val="left"/>
        <w:textAlignment w:val="bottom"/>
        <w:rPr>
          <w:rFonts w:hint="default" w:ascii="Times New Roman" w:hAnsi="Times New Roman" w:eastAsia="宋体"/>
          <w:szCs w:val="21"/>
          <w:lang w:val="en-US" w:eastAsia="zh-CN"/>
        </w:rPr>
      </w:pPr>
      <w:r>
        <w:rPr>
          <w:rFonts w:ascii="Times New Roman" w:hAnsi="Times New Roman"/>
          <w:szCs w:val="21"/>
        </w:rPr>
        <w:t>标段：</w:t>
      </w:r>
      <w:r>
        <w:rPr>
          <w:rFonts w:hint="eastAsia" w:ascii="Times New Roman" w:hAnsi="Times New Roman"/>
          <w:szCs w:val="21"/>
          <w:lang w:val="en-US" w:eastAsia="zh-CN"/>
        </w:rPr>
        <w:t>TW</w:t>
      </w:r>
      <w:r>
        <w:rPr>
          <w:rFonts w:hint="eastAsia" w:ascii="Times New Roman" w:hAnsi="Times New Roman"/>
          <w:szCs w:val="21"/>
          <w:lang w:eastAsia="zh-CN"/>
        </w:rPr>
        <w:t>BPJC-1</w:t>
      </w:r>
    </w:p>
    <w:tbl>
      <w:tblPr>
        <w:tblStyle w:val="24"/>
        <w:tblW w:w="9239" w:type="dxa"/>
        <w:jc w:val="center"/>
        <w:tblLayout w:type="fixed"/>
        <w:tblCellMar>
          <w:top w:w="0" w:type="dxa"/>
          <w:left w:w="0" w:type="dxa"/>
          <w:bottom w:w="0" w:type="dxa"/>
          <w:right w:w="0" w:type="dxa"/>
        </w:tblCellMar>
      </w:tblPr>
      <w:tblGrid>
        <w:gridCol w:w="2450"/>
        <w:gridCol w:w="956"/>
        <w:gridCol w:w="5833"/>
      </w:tblGrid>
      <w:tr w14:paraId="0326B737">
        <w:tblPrEx>
          <w:tblCellMar>
            <w:top w:w="0" w:type="dxa"/>
            <w:left w:w="0" w:type="dxa"/>
            <w:bottom w:w="0" w:type="dxa"/>
            <w:right w:w="0" w:type="dxa"/>
          </w:tblCellMar>
        </w:tblPrEx>
        <w:trPr>
          <w:trHeight w:val="1038" w:hRule="atLeast"/>
          <w:jc w:val="center"/>
        </w:trPr>
        <w:tc>
          <w:tcPr>
            <w:tcW w:w="2450" w:type="dxa"/>
            <w:tcBorders>
              <w:top w:val="single" w:color="000000" w:sz="4" w:space="0"/>
              <w:left w:val="single" w:color="auto" w:sz="4" w:space="0"/>
              <w:bottom w:val="single" w:color="auto" w:sz="4" w:space="0"/>
              <w:right w:val="single" w:color="000000" w:sz="4" w:space="0"/>
            </w:tcBorders>
            <w:noWrap w:val="0"/>
            <w:vAlign w:val="center"/>
          </w:tcPr>
          <w:p w14:paraId="148E3802">
            <w:pPr>
              <w:widowControl w:val="0"/>
              <w:tabs>
                <w:tab w:val="left" w:pos="780"/>
              </w:tabs>
              <w:autoSpaceDE w:val="0"/>
              <w:autoSpaceDN w:val="0"/>
              <w:adjustRightInd w:val="0"/>
              <w:spacing w:before="65"/>
              <w:ind w:firstLine="33" w:firstLineChars="16"/>
              <w:jc w:val="center"/>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人 员</w:t>
            </w:r>
          </w:p>
        </w:tc>
        <w:tc>
          <w:tcPr>
            <w:tcW w:w="956" w:type="dxa"/>
            <w:tcBorders>
              <w:top w:val="single" w:color="000000" w:sz="4" w:space="0"/>
              <w:left w:val="single" w:color="000000" w:sz="4" w:space="0"/>
              <w:bottom w:val="single" w:color="000000" w:sz="4" w:space="0"/>
              <w:right w:val="single" w:color="000000" w:sz="4" w:space="0"/>
            </w:tcBorders>
            <w:noWrap w:val="0"/>
            <w:vAlign w:val="center"/>
          </w:tcPr>
          <w:p w14:paraId="42230905">
            <w:pPr>
              <w:widowControl w:val="0"/>
              <w:tabs>
                <w:tab w:val="left" w:pos="780"/>
              </w:tabs>
              <w:autoSpaceDE w:val="0"/>
              <w:autoSpaceDN w:val="0"/>
              <w:adjustRightInd w:val="0"/>
              <w:spacing w:before="65"/>
              <w:ind w:firstLine="33" w:firstLineChars="16"/>
              <w:jc w:val="center"/>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数量</w:t>
            </w:r>
          </w:p>
        </w:tc>
        <w:tc>
          <w:tcPr>
            <w:tcW w:w="5833" w:type="dxa"/>
            <w:tcBorders>
              <w:top w:val="single" w:color="000000" w:sz="4" w:space="0"/>
              <w:left w:val="single" w:color="000000" w:sz="4" w:space="0"/>
              <w:bottom w:val="single" w:color="000000" w:sz="4" w:space="0"/>
              <w:right w:val="single" w:color="000000" w:sz="4" w:space="0"/>
            </w:tcBorders>
            <w:noWrap w:val="0"/>
            <w:vAlign w:val="center"/>
          </w:tcPr>
          <w:p w14:paraId="4F318C3D">
            <w:pPr>
              <w:widowControl w:val="0"/>
              <w:autoSpaceDE w:val="0"/>
              <w:autoSpaceDN w:val="0"/>
              <w:adjustRightInd w:val="0"/>
              <w:spacing w:before="65"/>
              <w:ind w:firstLine="33" w:firstLineChars="16"/>
              <w:jc w:val="center"/>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资 格 要 求</w:t>
            </w:r>
          </w:p>
        </w:tc>
      </w:tr>
      <w:tr w14:paraId="52402157">
        <w:tblPrEx>
          <w:tblCellMar>
            <w:top w:w="0" w:type="dxa"/>
            <w:left w:w="0" w:type="dxa"/>
            <w:bottom w:w="0" w:type="dxa"/>
            <w:right w:w="0" w:type="dxa"/>
          </w:tblCellMar>
        </w:tblPrEx>
        <w:trPr>
          <w:trHeight w:val="1038" w:hRule="atLeast"/>
          <w:jc w:val="center"/>
        </w:trPr>
        <w:tc>
          <w:tcPr>
            <w:tcW w:w="2450" w:type="dxa"/>
            <w:tcBorders>
              <w:top w:val="single" w:color="auto" w:sz="4" w:space="0"/>
              <w:left w:val="single" w:color="auto" w:sz="4" w:space="0"/>
              <w:bottom w:val="single" w:color="auto" w:sz="4" w:space="0"/>
              <w:right w:val="single" w:color="auto" w:sz="4" w:space="0"/>
            </w:tcBorders>
            <w:noWrap w:val="0"/>
            <w:vAlign w:val="center"/>
          </w:tcPr>
          <w:p w14:paraId="00C2A850">
            <w:pPr>
              <w:widowControl w:val="0"/>
              <w:spacing w:line="400" w:lineRule="atLeast"/>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现场</w:t>
            </w:r>
            <w:r>
              <w:rPr>
                <w:rFonts w:hint="eastAsia" w:ascii="Times New Roman" w:hAnsi="Times New Roman" w:eastAsia="宋体" w:cs="Times New Roman"/>
                <w:color w:val="000000"/>
                <w:kern w:val="2"/>
                <w:sz w:val="21"/>
                <w:szCs w:val="21"/>
                <w:highlight w:val="none"/>
                <w:lang w:val="en-US" w:eastAsia="zh-CN" w:bidi="ar-SA"/>
              </w:rPr>
              <w:t>监测负责人</w:t>
            </w:r>
          </w:p>
        </w:tc>
        <w:tc>
          <w:tcPr>
            <w:tcW w:w="956" w:type="dxa"/>
            <w:tcBorders>
              <w:top w:val="single" w:color="000000" w:sz="4" w:space="0"/>
              <w:left w:val="single" w:color="auto" w:sz="4" w:space="0"/>
              <w:bottom w:val="single" w:color="000000" w:sz="4" w:space="0"/>
              <w:right w:val="single" w:color="000000" w:sz="4" w:space="0"/>
            </w:tcBorders>
            <w:noWrap w:val="0"/>
            <w:vAlign w:val="center"/>
          </w:tcPr>
          <w:p w14:paraId="5117F023">
            <w:pPr>
              <w:widowControl w:val="0"/>
              <w:spacing w:line="400" w:lineRule="atLeast"/>
              <w:ind w:left="-58"/>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1</w:t>
            </w:r>
          </w:p>
        </w:tc>
        <w:tc>
          <w:tcPr>
            <w:tcW w:w="5833" w:type="dxa"/>
            <w:tcBorders>
              <w:top w:val="single" w:color="000000" w:sz="4" w:space="0"/>
              <w:left w:val="single" w:color="000000" w:sz="4" w:space="0"/>
              <w:bottom w:val="single" w:color="000000" w:sz="4" w:space="0"/>
              <w:right w:val="single" w:color="000000" w:sz="4" w:space="0"/>
            </w:tcBorders>
            <w:noWrap w:val="0"/>
            <w:vAlign w:val="center"/>
          </w:tcPr>
          <w:p w14:paraId="6EFB88BE">
            <w:pPr>
              <w:widowControl w:val="0"/>
              <w:spacing w:line="400" w:lineRule="atLeast"/>
              <w:ind w:right="248" w:rightChars="118"/>
              <w:jc w:val="both"/>
              <w:rPr>
                <w:rFonts w:ascii="Times New Roman" w:hAnsi="Times New Roman" w:eastAsia="宋体" w:cs="Times New Roman"/>
                <w:snapToGrid w:val="0"/>
                <w:color w:val="000000"/>
                <w:kern w:val="2"/>
                <w:sz w:val="21"/>
                <w:szCs w:val="21"/>
                <w:highlight w:val="none"/>
                <w:lang w:val="en-US" w:eastAsia="zh-CN" w:bidi="ar-SA"/>
              </w:rPr>
            </w:pPr>
            <w:r>
              <w:rPr>
                <w:rFonts w:ascii="Times New Roman" w:hAnsi="Times New Roman" w:eastAsia="宋体" w:cs="Times New Roman"/>
                <w:snapToGrid w:val="0"/>
                <w:color w:val="000000"/>
                <w:kern w:val="2"/>
                <w:sz w:val="21"/>
                <w:szCs w:val="21"/>
                <w:highlight w:val="none"/>
                <w:lang w:val="en-US" w:eastAsia="zh-CN" w:bidi="ar-SA"/>
              </w:rPr>
              <w:t>工程师及以上职称，近5年，担任过1条</w:t>
            </w:r>
            <w:r>
              <w:rPr>
                <w:rFonts w:hint="eastAsia" w:ascii="Times New Roman" w:hAnsi="Times New Roman" w:eastAsia="宋体" w:cs="Times New Roman"/>
                <w:snapToGrid w:val="0"/>
                <w:color w:val="000000"/>
                <w:kern w:val="2"/>
                <w:sz w:val="21"/>
                <w:szCs w:val="21"/>
                <w:highlight w:val="none"/>
                <w:lang w:val="en-US" w:eastAsia="zh-CN" w:bidi="ar-SA"/>
              </w:rPr>
              <w:t>高速公路高边坡</w:t>
            </w:r>
            <w:r>
              <w:rPr>
                <w:rFonts w:hint="eastAsia" w:ascii="Times New Roman" w:hAnsi="Times New Roman" w:cs="Times New Roman"/>
                <w:snapToGrid w:val="0"/>
                <w:color w:val="000000"/>
                <w:kern w:val="2"/>
                <w:sz w:val="21"/>
                <w:szCs w:val="21"/>
                <w:highlight w:val="none"/>
                <w:lang w:val="en-US" w:eastAsia="zh-CN" w:bidi="ar-SA"/>
              </w:rPr>
              <w:t>或</w:t>
            </w:r>
            <w:r>
              <w:rPr>
                <w:rFonts w:hint="eastAsia" w:ascii="Times New Roman" w:hAnsi="Times New Roman" w:eastAsia="宋体" w:cs="Times New Roman"/>
                <w:snapToGrid w:val="0"/>
                <w:color w:val="000000"/>
                <w:kern w:val="2"/>
                <w:sz w:val="21"/>
                <w:szCs w:val="21"/>
                <w:highlight w:val="none"/>
                <w:lang w:val="en-US" w:eastAsia="zh-CN" w:bidi="ar-SA"/>
              </w:rPr>
              <w:t>滑坡监测工作的负责人</w:t>
            </w:r>
            <w:r>
              <w:rPr>
                <w:rFonts w:ascii="Times New Roman" w:hAnsi="Times New Roman" w:eastAsia="宋体" w:cs="Times New Roman"/>
                <w:snapToGrid w:val="0"/>
                <w:color w:val="000000"/>
                <w:kern w:val="2"/>
                <w:sz w:val="21"/>
                <w:szCs w:val="21"/>
                <w:highlight w:val="none"/>
                <w:lang w:val="en-US" w:eastAsia="zh-CN" w:bidi="ar-SA"/>
              </w:rPr>
              <w:t>。</w:t>
            </w:r>
          </w:p>
        </w:tc>
      </w:tr>
      <w:tr w14:paraId="42BC1661">
        <w:tblPrEx>
          <w:tblCellMar>
            <w:top w:w="0" w:type="dxa"/>
            <w:left w:w="0" w:type="dxa"/>
            <w:bottom w:w="0" w:type="dxa"/>
            <w:right w:w="0" w:type="dxa"/>
          </w:tblCellMar>
        </w:tblPrEx>
        <w:trPr>
          <w:trHeight w:val="1038" w:hRule="atLeast"/>
          <w:jc w:val="center"/>
        </w:trPr>
        <w:tc>
          <w:tcPr>
            <w:tcW w:w="2450" w:type="dxa"/>
            <w:tcBorders>
              <w:top w:val="single" w:color="auto" w:sz="4" w:space="0"/>
              <w:left w:val="single" w:color="auto" w:sz="4" w:space="0"/>
              <w:bottom w:val="single" w:color="auto" w:sz="4" w:space="0"/>
              <w:right w:val="single" w:color="auto" w:sz="4" w:space="0"/>
            </w:tcBorders>
            <w:noWrap w:val="0"/>
            <w:vAlign w:val="center"/>
          </w:tcPr>
          <w:p w14:paraId="2A36A61E">
            <w:pPr>
              <w:widowControl w:val="0"/>
              <w:spacing w:line="400" w:lineRule="atLeast"/>
              <w:ind w:left="-58"/>
              <w:jc w:val="center"/>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监测工程师</w:t>
            </w:r>
          </w:p>
        </w:tc>
        <w:tc>
          <w:tcPr>
            <w:tcW w:w="956" w:type="dxa"/>
            <w:tcBorders>
              <w:top w:val="single" w:color="000000" w:sz="4" w:space="0"/>
              <w:left w:val="single" w:color="auto" w:sz="4" w:space="0"/>
              <w:bottom w:val="single" w:color="000000" w:sz="4" w:space="0"/>
              <w:right w:val="single" w:color="000000" w:sz="4" w:space="0"/>
            </w:tcBorders>
            <w:noWrap w:val="0"/>
            <w:vAlign w:val="center"/>
          </w:tcPr>
          <w:p w14:paraId="2CA1EF22">
            <w:pPr>
              <w:widowControl w:val="0"/>
              <w:spacing w:line="400" w:lineRule="atLeast"/>
              <w:ind w:left="-58"/>
              <w:jc w:val="center"/>
              <w:rPr>
                <w:rFonts w:ascii="Times New Roman" w:hAnsi="Times New Roman" w:eastAsia="宋体" w:cs="Times New Roman"/>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3</w:t>
            </w:r>
          </w:p>
        </w:tc>
        <w:tc>
          <w:tcPr>
            <w:tcW w:w="5833" w:type="dxa"/>
            <w:tcBorders>
              <w:top w:val="single" w:color="000000" w:sz="4" w:space="0"/>
              <w:left w:val="single" w:color="000000" w:sz="4" w:space="0"/>
              <w:bottom w:val="single" w:color="000000" w:sz="4" w:space="0"/>
              <w:right w:val="single" w:color="000000" w:sz="4" w:space="0"/>
            </w:tcBorders>
            <w:noWrap w:val="0"/>
            <w:vAlign w:val="center"/>
          </w:tcPr>
          <w:p w14:paraId="150B7233">
            <w:pPr>
              <w:widowControl w:val="0"/>
              <w:spacing w:line="400" w:lineRule="atLeast"/>
              <w:ind w:right="248" w:rightChars="118"/>
              <w:jc w:val="both"/>
              <w:rPr>
                <w:rFonts w:ascii="Times New Roman" w:hAnsi="Times New Roman" w:eastAsia="宋体" w:cs="Times New Roman"/>
                <w:snapToGrid w:val="0"/>
                <w:kern w:val="2"/>
                <w:sz w:val="21"/>
                <w:szCs w:val="21"/>
                <w:highlight w:val="none"/>
                <w:lang w:val="en-US" w:eastAsia="zh-CN" w:bidi="ar-SA"/>
              </w:rPr>
            </w:pPr>
            <w:r>
              <w:rPr>
                <w:rFonts w:ascii="Times New Roman" w:hAnsi="Times New Roman" w:eastAsia="宋体" w:cs="Times New Roman"/>
                <w:snapToGrid w:val="0"/>
                <w:kern w:val="2"/>
                <w:sz w:val="21"/>
                <w:szCs w:val="21"/>
                <w:highlight w:val="none"/>
                <w:lang w:val="en-US" w:eastAsia="zh-CN" w:bidi="ar-SA"/>
              </w:rPr>
              <w:t>近5年，参与过1条高速公路高边坡</w:t>
            </w:r>
            <w:r>
              <w:rPr>
                <w:rFonts w:hint="eastAsia" w:ascii="Times New Roman" w:hAnsi="Times New Roman" w:cs="Times New Roman"/>
                <w:snapToGrid w:val="0"/>
                <w:color w:val="000000"/>
                <w:kern w:val="2"/>
                <w:sz w:val="21"/>
                <w:szCs w:val="21"/>
                <w:highlight w:val="none"/>
                <w:lang w:val="en-US" w:eastAsia="zh-CN" w:bidi="ar-SA"/>
              </w:rPr>
              <w:t>或</w:t>
            </w:r>
            <w:r>
              <w:rPr>
                <w:rFonts w:ascii="Times New Roman" w:hAnsi="Times New Roman" w:eastAsia="宋体" w:cs="Times New Roman"/>
                <w:snapToGrid w:val="0"/>
                <w:kern w:val="2"/>
                <w:sz w:val="21"/>
                <w:szCs w:val="21"/>
                <w:highlight w:val="none"/>
                <w:lang w:val="en-US" w:eastAsia="zh-CN" w:bidi="ar-SA"/>
              </w:rPr>
              <w:t>滑坡监测工作。</w:t>
            </w:r>
          </w:p>
        </w:tc>
      </w:tr>
      <w:tr w14:paraId="506F538B">
        <w:tblPrEx>
          <w:tblCellMar>
            <w:top w:w="0" w:type="dxa"/>
            <w:left w:w="0" w:type="dxa"/>
            <w:bottom w:w="0" w:type="dxa"/>
            <w:right w:w="0" w:type="dxa"/>
          </w:tblCellMar>
        </w:tblPrEx>
        <w:trPr>
          <w:trHeight w:val="1038" w:hRule="atLeast"/>
          <w:jc w:val="center"/>
        </w:trPr>
        <w:tc>
          <w:tcPr>
            <w:tcW w:w="2450" w:type="dxa"/>
            <w:tcBorders>
              <w:top w:val="single" w:color="auto" w:sz="4" w:space="0"/>
              <w:left w:val="single" w:color="auto" w:sz="4" w:space="0"/>
              <w:bottom w:val="single" w:color="auto" w:sz="4" w:space="0"/>
              <w:right w:val="single" w:color="auto" w:sz="4" w:space="0"/>
            </w:tcBorders>
            <w:noWrap w:val="0"/>
            <w:vAlign w:val="center"/>
          </w:tcPr>
          <w:p w14:paraId="4E2B028E">
            <w:pPr>
              <w:widowControl w:val="0"/>
              <w:spacing w:line="400" w:lineRule="atLeast"/>
              <w:ind w:left="-58"/>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合计</w:t>
            </w:r>
          </w:p>
        </w:tc>
        <w:tc>
          <w:tcPr>
            <w:tcW w:w="956" w:type="dxa"/>
            <w:tcBorders>
              <w:top w:val="single" w:color="000000" w:sz="4" w:space="0"/>
              <w:left w:val="single" w:color="auto" w:sz="4" w:space="0"/>
              <w:bottom w:val="single" w:color="000000" w:sz="4" w:space="0"/>
              <w:right w:val="single" w:color="000000" w:sz="4" w:space="0"/>
            </w:tcBorders>
            <w:noWrap w:val="0"/>
            <w:vAlign w:val="center"/>
          </w:tcPr>
          <w:p w14:paraId="7EE1325D">
            <w:pPr>
              <w:widowControl w:val="0"/>
              <w:spacing w:line="400" w:lineRule="atLeast"/>
              <w:ind w:left="-58"/>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4</w:t>
            </w:r>
          </w:p>
        </w:tc>
        <w:tc>
          <w:tcPr>
            <w:tcW w:w="5833" w:type="dxa"/>
            <w:tcBorders>
              <w:top w:val="single" w:color="000000" w:sz="4" w:space="0"/>
              <w:left w:val="single" w:color="000000" w:sz="4" w:space="0"/>
              <w:bottom w:val="single" w:color="000000" w:sz="4" w:space="0"/>
              <w:right w:val="single" w:color="000000" w:sz="4" w:space="0"/>
            </w:tcBorders>
            <w:noWrap w:val="0"/>
            <w:vAlign w:val="center"/>
          </w:tcPr>
          <w:p w14:paraId="5B7A78F3">
            <w:pPr>
              <w:widowControl w:val="0"/>
              <w:spacing w:line="400" w:lineRule="atLeast"/>
              <w:ind w:right="248" w:rightChars="118"/>
              <w:jc w:val="center"/>
              <w:rPr>
                <w:rFonts w:hint="eastAsia" w:ascii="Times New Roman" w:hAnsi="Times New Roman" w:eastAsia="宋体" w:cs="Times New Roman"/>
                <w:snapToGrid w:val="0"/>
                <w:kern w:val="2"/>
                <w:sz w:val="21"/>
                <w:szCs w:val="21"/>
                <w:highlight w:val="none"/>
                <w:lang w:val="en-US" w:eastAsia="zh-CN" w:bidi="ar-SA"/>
              </w:rPr>
            </w:pPr>
            <w:r>
              <w:rPr>
                <w:rFonts w:hint="eastAsia" w:ascii="Times New Roman" w:hAnsi="Times New Roman" w:eastAsia="宋体" w:cs="Times New Roman"/>
                <w:snapToGrid w:val="0"/>
                <w:kern w:val="2"/>
                <w:sz w:val="21"/>
                <w:szCs w:val="21"/>
                <w:highlight w:val="none"/>
                <w:lang w:val="en-US" w:eastAsia="zh-CN" w:bidi="ar-SA"/>
              </w:rPr>
              <w:t>/</w:t>
            </w:r>
          </w:p>
        </w:tc>
      </w:tr>
    </w:tbl>
    <w:p w14:paraId="3479F814">
      <w:pPr>
        <w:widowControl/>
        <w:autoSpaceDE w:val="0"/>
        <w:autoSpaceDN w:val="0"/>
        <w:spacing w:line="400" w:lineRule="atLeast"/>
        <w:ind w:left="359" w:hanging="359" w:hangingChars="171"/>
        <w:textAlignment w:val="bottom"/>
        <w:rPr>
          <w:rFonts w:ascii="Times New Roman" w:hAnsi="Times New Roman"/>
          <w:szCs w:val="21"/>
        </w:rPr>
      </w:pPr>
      <w:r>
        <w:rPr>
          <w:rFonts w:ascii="Times New Roman" w:hAnsi="Times New Roman"/>
          <w:szCs w:val="21"/>
        </w:rPr>
        <w:t>注：</w:t>
      </w:r>
    </w:p>
    <w:p w14:paraId="4ABF9CFB">
      <w:pPr>
        <w:widowControl/>
        <w:autoSpaceDE w:val="0"/>
        <w:autoSpaceDN w:val="0"/>
        <w:spacing w:line="400" w:lineRule="atLeast"/>
        <w:ind w:left="356" w:leftChars="104" w:hanging="138" w:hangingChars="66"/>
        <w:textAlignment w:val="bottom"/>
        <w:rPr>
          <w:rFonts w:hint="eastAsia" w:ascii="Times New Roman" w:hAnsi="Times New Roman"/>
          <w:szCs w:val="21"/>
        </w:rPr>
      </w:pPr>
      <w:r>
        <w:rPr>
          <w:rFonts w:hint="eastAsia" w:ascii="Times New Roman" w:hAnsi="Times New Roman"/>
          <w:szCs w:val="21"/>
        </w:rPr>
        <w:t>1、上述人员不作为资格评审的内容，在签署合同协议书之前，发包人将要求中标人按照本表的最低要求派驻本项目的其他主要管理人员和技术人员，在经发包人审批后作为派驻本项目的项目管理机构主要人员且不允许更换。</w:t>
      </w:r>
    </w:p>
    <w:p w14:paraId="325B0D89">
      <w:pPr>
        <w:widowControl/>
        <w:autoSpaceDE w:val="0"/>
        <w:autoSpaceDN w:val="0"/>
        <w:spacing w:line="400" w:lineRule="atLeast"/>
        <w:ind w:left="356" w:leftChars="104" w:hanging="138" w:hangingChars="66"/>
        <w:textAlignment w:val="bottom"/>
        <w:rPr>
          <w:rFonts w:hint="eastAsia" w:ascii="Times New Roman" w:hAnsi="Times New Roman"/>
          <w:szCs w:val="21"/>
        </w:rPr>
      </w:pPr>
      <w:r>
        <w:rPr>
          <w:rFonts w:hint="eastAsia" w:ascii="Times New Roman" w:hAnsi="Times New Roman"/>
          <w:szCs w:val="21"/>
        </w:rPr>
        <w:t>2、上述人员应根据发包人指示，按工程进度分批进驻工程现场。</w:t>
      </w:r>
    </w:p>
    <w:p w14:paraId="2AD1158C">
      <w:pPr>
        <w:widowControl/>
        <w:autoSpaceDE w:val="0"/>
        <w:autoSpaceDN w:val="0"/>
        <w:spacing w:line="400" w:lineRule="atLeast"/>
        <w:ind w:firstLine="218" w:firstLineChars="104"/>
        <w:textAlignment w:val="bottom"/>
        <w:rPr>
          <w:rFonts w:ascii="Times New Roman" w:hAnsi="Times New Roman"/>
          <w:szCs w:val="21"/>
        </w:rPr>
      </w:pPr>
      <w:r>
        <w:rPr>
          <w:rFonts w:hint="eastAsia" w:ascii="Times New Roman" w:hAnsi="Times New Roman"/>
          <w:szCs w:val="21"/>
        </w:rPr>
        <w:t>3、投标文件中无需填写。</w:t>
      </w:r>
    </w:p>
    <w:p w14:paraId="1DC7B2C4">
      <w:pPr>
        <w:widowControl/>
        <w:jc w:val="left"/>
        <w:rPr>
          <w:rFonts w:ascii="Times New Roman" w:hAnsi="Times New Roman"/>
          <w:szCs w:val="21"/>
        </w:rPr>
      </w:pPr>
      <w:r>
        <w:rPr>
          <w:rFonts w:ascii="Times New Roman" w:hAnsi="Times New Roman"/>
          <w:szCs w:val="21"/>
        </w:rPr>
        <w:br w:type="page"/>
      </w:r>
    </w:p>
    <w:p w14:paraId="346E988C">
      <w:pPr>
        <w:spacing w:line="400" w:lineRule="atLeast"/>
        <w:jc w:val="left"/>
        <w:rPr>
          <w:rFonts w:ascii="Times New Roman" w:hAnsi="Times New Roman"/>
          <w:szCs w:val="24"/>
        </w:rPr>
      </w:pPr>
      <w:r>
        <w:rPr>
          <w:rFonts w:ascii="Times New Roman" w:hAnsi="Times New Roman"/>
          <w:b/>
          <w:sz w:val="24"/>
          <w:szCs w:val="24"/>
        </w:rPr>
        <w:t>附件5：</w:t>
      </w:r>
      <w:r>
        <w:rPr>
          <w:rFonts w:ascii="Times New Roman" w:hAnsi="Times New Roman"/>
          <w:b/>
          <w:color w:val="000000" w:themeColor="text1"/>
          <w:sz w:val="24"/>
          <w:szCs w:val="24"/>
          <w:highlight w:val="yellow"/>
          <w14:textFill>
            <w14:solidFill>
              <w14:schemeClr w14:val="tx1"/>
            </w14:solidFill>
          </w14:textFill>
        </w:rPr>
        <w:t>主要设备、仪器、设施最低要求</w:t>
      </w:r>
    </w:p>
    <w:p w14:paraId="4D670BFC">
      <w:pPr>
        <w:spacing w:line="400" w:lineRule="atLeast"/>
        <w:jc w:val="left"/>
        <w:rPr>
          <w:rFonts w:hint="default" w:ascii="Times New Roman" w:hAnsi="Times New Roman" w:eastAsia="宋体"/>
          <w:szCs w:val="24"/>
          <w:lang w:val="en-US" w:eastAsia="zh-CN"/>
        </w:rPr>
      </w:pPr>
      <w:r>
        <w:rPr>
          <w:rFonts w:ascii="Times New Roman" w:hAnsi="Times New Roman"/>
          <w:szCs w:val="24"/>
        </w:rPr>
        <w:t>标段：</w:t>
      </w:r>
      <w:r>
        <w:rPr>
          <w:rFonts w:hint="eastAsia" w:ascii="Times New Roman" w:hAnsi="Times New Roman"/>
          <w:szCs w:val="24"/>
          <w:lang w:val="en-US" w:eastAsia="zh-CN"/>
        </w:rPr>
        <w:t>TW</w:t>
      </w:r>
      <w:r>
        <w:rPr>
          <w:rFonts w:hint="eastAsia" w:ascii="Times New Roman" w:hAnsi="Times New Roman"/>
          <w:szCs w:val="24"/>
          <w:lang w:eastAsia="zh-CN"/>
        </w:rPr>
        <w:t>BPJC-1</w:t>
      </w:r>
    </w:p>
    <w:tbl>
      <w:tblPr>
        <w:tblStyle w:val="24"/>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3472"/>
        <w:gridCol w:w="1410"/>
        <w:gridCol w:w="1266"/>
        <w:gridCol w:w="1434"/>
      </w:tblGrid>
      <w:tr w14:paraId="31244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noWrap w:val="0"/>
            <w:vAlign w:val="center"/>
          </w:tcPr>
          <w:p w14:paraId="7BA1A34B">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r>
              <w:rPr>
                <w:rFonts w:ascii="Times New Roman" w:hAnsi="Times New Roman" w:eastAsia="宋体" w:cs="Times New Roman"/>
                <w:color w:val="000000"/>
                <w:szCs w:val="21"/>
              </w:rPr>
              <w:t>序号</w:t>
            </w:r>
          </w:p>
        </w:tc>
        <w:tc>
          <w:tcPr>
            <w:tcW w:w="3472" w:type="dxa"/>
            <w:tcBorders>
              <w:top w:val="single" w:color="auto" w:sz="4" w:space="0"/>
              <w:left w:val="single" w:color="auto" w:sz="4" w:space="0"/>
              <w:bottom w:val="single" w:color="auto" w:sz="4" w:space="0"/>
              <w:right w:val="single" w:color="auto" w:sz="4" w:space="0"/>
            </w:tcBorders>
            <w:noWrap w:val="0"/>
            <w:vAlign w:val="center"/>
          </w:tcPr>
          <w:p w14:paraId="08ACFED2">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r>
              <w:rPr>
                <w:rFonts w:ascii="Times New Roman" w:hAnsi="Times New Roman" w:eastAsia="宋体" w:cs="Times New Roman"/>
                <w:color w:val="000000"/>
                <w:szCs w:val="21"/>
              </w:rPr>
              <w:t>仪器、设备名称</w:t>
            </w:r>
          </w:p>
        </w:tc>
        <w:tc>
          <w:tcPr>
            <w:tcW w:w="1410" w:type="dxa"/>
            <w:tcBorders>
              <w:top w:val="single" w:color="auto" w:sz="4" w:space="0"/>
              <w:left w:val="single" w:color="auto" w:sz="4" w:space="0"/>
              <w:bottom w:val="single" w:color="auto" w:sz="4" w:space="0"/>
              <w:right w:val="single" w:color="auto" w:sz="4" w:space="0"/>
            </w:tcBorders>
            <w:noWrap w:val="0"/>
            <w:vAlign w:val="center"/>
          </w:tcPr>
          <w:p w14:paraId="11816B06">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r>
              <w:rPr>
                <w:rFonts w:ascii="Times New Roman" w:hAnsi="Times New Roman" w:eastAsia="宋体" w:cs="Times New Roman"/>
                <w:color w:val="000000"/>
                <w:szCs w:val="21"/>
              </w:rPr>
              <w:t>单位</w:t>
            </w:r>
          </w:p>
        </w:tc>
        <w:tc>
          <w:tcPr>
            <w:tcW w:w="1266" w:type="dxa"/>
            <w:tcBorders>
              <w:top w:val="single" w:color="auto" w:sz="4" w:space="0"/>
              <w:left w:val="single" w:color="auto" w:sz="4" w:space="0"/>
              <w:bottom w:val="single" w:color="auto" w:sz="4" w:space="0"/>
              <w:right w:val="single" w:color="auto" w:sz="4" w:space="0"/>
            </w:tcBorders>
            <w:noWrap w:val="0"/>
            <w:vAlign w:val="center"/>
          </w:tcPr>
          <w:p w14:paraId="385D3C17">
            <w:pPr>
              <w:pStyle w:val="35"/>
              <w:widowControl/>
              <w:autoSpaceDE w:val="0"/>
              <w:autoSpaceDN w:val="0"/>
              <w:spacing w:line="400" w:lineRule="atLeast"/>
              <w:jc w:val="center"/>
              <w:textAlignment w:val="bottom"/>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数量</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74A743B2">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r>
              <w:rPr>
                <w:rFonts w:ascii="Times New Roman" w:hAnsi="Times New Roman" w:eastAsia="宋体" w:cs="Times New Roman"/>
                <w:color w:val="000000"/>
                <w:szCs w:val="21"/>
              </w:rPr>
              <w:t>备注</w:t>
            </w:r>
          </w:p>
        </w:tc>
      </w:tr>
      <w:tr w14:paraId="692D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56EDC0">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1</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B29A7F">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全站仪</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6A25DB">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套</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6B18EB">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3B0AF6B1">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2C44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36D5B6">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2</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003879">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高精度水准仪</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D1D561">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套</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2FFFC2">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56D00F1D">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5272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002F14">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3</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22C5C4">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激光测距仪</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EB1C1">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199D3">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50EC09C9">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21604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A71AAE">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4</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73D242">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测斜仪</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6919BA">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BE9A4F">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31A6E1FC">
            <w:pPr>
              <w:pStyle w:val="35"/>
              <w:widowControl/>
              <w:autoSpaceDE w:val="0"/>
              <w:autoSpaceDN w:val="0"/>
              <w:spacing w:line="400" w:lineRule="atLeast"/>
              <w:jc w:val="center"/>
              <w:textAlignment w:val="bottom"/>
              <w:rPr>
                <w:rFonts w:ascii="Times New Roman" w:hAnsi="Times New Roman" w:eastAsia="宋体" w:cs="Times New Roman"/>
                <w:color w:val="FF0000"/>
                <w:szCs w:val="21"/>
              </w:rPr>
            </w:pPr>
          </w:p>
        </w:tc>
      </w:tr>
      <w:tr w14:paraId="7967B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E7EB39">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5</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FC9377">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分层沉降仪</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4B2414">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741CC0">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6D0E3B33">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4CCF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3F457E">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6</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F00888">
            <w:pPr>
              <w:widowControl w:val="0"/>
              <w:kinsoku w:val="0"/>
              <w:overflowPunct w:val="0"/>
              <w:spacing w:before="10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综合读书仪</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542FD8">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50B4A7">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6158D0AB">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4FBF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728FC7">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7</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AA7F45">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笔记本电脑</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30370E">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F6EE5F">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143970BC">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4570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8B3CC0">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8</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4CB11F">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锚杆（索）测力计</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64F495">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个</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AAEC91">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6</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5B2147BF">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0357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B3E9CF">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9</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18EB83">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钢卷尺</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07AACF">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97BD8C">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645B76DB">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0611D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D3B11F">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10</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F48788">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游标卡尺</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F707FB">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281DAF">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49CACA9B">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6AC9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433C20">
            <w:pPr>
              <w:widowControl w:val="0"/>
              <w:kinsoku w:val="0"/>
              <w:overflowPunct w:val="0"/>
              <w:spacing w:before="10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11</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E528A5">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水位计</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AE1BD5">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个</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8FC9CF">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3E7CFC6A">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59FE6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2B4908">
            <w:pPr>
              <w:widowControl w:val="0"/>
              <w:kinsoku w:val="0"/>
              <w:overflowPunct w:val="0"/>
              <w:spacing w:before="10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12</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4F5D9F">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地质罗盘仪</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F8E6BA">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个</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7256DB">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1</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1F362FF8">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3D5A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5D11C3">
            <w:pPr>
              <w:widowControl w:val="0"/>
              <w:kinsoku w:val="0"/>
              <w:overflowPunct w:val="0"/>
              <w:spacing w:before="10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13</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AABBFB">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对讲机</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CC137B">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D3E732">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4</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498D134F">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4657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1E5AEE">
            <w:pPr>
              <w:widowControl w:val="0"/>
              <w:kinsoku w:val="0"/>
              <w:overflowPunct w:val="0"/>
              <w:spacing w:before="10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14</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3DD061">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打印机</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1B40CC">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台</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0261C3">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584D54ED">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r w14:paraId="5AFCF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75BDB8">
            <w:pPr>
              <w:widowControl w:val="0"/>
              <w:kinsoku w:val="0"/>
              <w:overflowPunct w:val="0"/>
              <w:spacing w:before="10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15</w:t>
            </w:r>
          </w:p>
        </w:tc>
        <w:tc>
          <w:tcPr>
            <w:tcW w:w="34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0B91A5">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交通车辆</w:t>
            </w:r>
          </w:p>
        </w:tc>
        <w:tc>
          <w:tcPr>
            <w:tcW w:w="1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7230F7">
            <w:pPr>
              <w:widowControl w:val="0"/>
              <w:kinsoku w:val="0"/>
              <w:overflowPunct w:val="0"/>
              <w:spacing w:before="100"/>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个</w:t>
            </w:r>
          </w:p>
        </w:tc>
        <w:tc>
          <w:tcPr>
            <w:tcW w:w="12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D7D95E">
            <w:pPr>
              <w:widowControl w:val="0"/>
              <w:kinsoku w:val="0"/>
              <w:overflowPunct w:val="0"/>
              <w:spacing w:before="10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64BE5923">
            <w:pPr>
              <w:pStyle w:val="35"/>
              <w:widowControl/>
              <w:autoSpaceDE w:val="0"/>
              <w:autoSpaceDN w:val="0"/>
              <w:spacing w:line="400" w:lineRule="atLeast"/>
              <w:jc w:val="center"/>
              <w:textAlignment w:val="bottom"/>
              <w:rPr>
                <w:rFonts w:ascii="Times New Roman" w:hAnsi="Times New Roman" w:eastAsia="宋体" w:cs="Times New Roman"/>
                <w:color w:val="000000"/>
                <w:szCs w:val="21"/>
              </w:rPr>
            </w:pPr>
          </w:p>
        </w:tc>
      </w:tr>
    </w:tbl>
    <w:p w14:paraId="4174C213">
      <w:pPr>
        <w:widowControl/>
        <w:autoSpaceDE w:val="0"/>
        <w:autoSpaceDN w:val="0"/>
        <w:spacing w:line="400" w:lineRule="atLeast"/>
        <w:ind w:left="0" w:firstLine="0" w:firstLineChars="0"/>
        <w:textAlignment w:val="bottom"/>
        <w:rPr>
          <w:rFonts w:ascii="Times New Roman" w:hAnsi="Times New Roman"/>
          <w:szCs w:val="21"/>
        </w:rPr>
      </w:pPr>
      <w:r>
        <w:rPr>
          <w:rFonts w:ascii="Times New Roman" w:hAnsi="Times New Roman"/>
          <w:szCs w:val="21"/>
        </w:rPr>
        <w:t>注：</w:t>
      </w:r>
    </w:p>
    <w:p w14:paraId="04112C22">
      <w:pPr>
        <w:widowControl/>
        <w:autoSpaceDE w:val="0"/>
        <w:autoSpaceDN w:val="0"/>
        <w:spacing w:line="400" w:lineRule="atLeast"/>
        <w:ind w:firstLine="420" w:firstLineChars="200"/>
        <w:textAlignment w:val="bottom"/>
        <w:rPr>
          <w:rFonts w:ascii="Times New Roman" w:hAnsi="Times New Roman"/>
          <w:szCs w:val="21"/>
        </w:rPr>
      </w:pPr>
      <w:r>
        <w:rPr>
          <w:rFonts w:ascii="Times New Roman" w:hAnsi="Times New Roman"/>
          <w:szCs w:val="21"/>
        </w:rPr>
        <w:t>1、主要设备、仪器、设施不作为资格评审的内容，在签署合同协议书之前，发包人将要求中标人按照本表的最低要求填报为本标段配备的主要仪器、设备，在经发包人审批后作为投入本标段的主要仪器、设备且不允许更换。</w:t>
      </w:r>
    </w:p>
    <w:p w14:paraId="7EABD87B">
      <w:pPr>
        <w:widowControl/>
        <w:autoSpaceDE w:val="0"/>
        <w:autoSpaceDN w:val="0"/>
        <w:spacing w:line="400" w:lineRule="atLeast"/>
        <w:ind w:firstLine="420" w:firstLineChars="200"/>
        <w:textAlignment w:val="bottom"/>
        <w:rPr>
          <w:rFonts w:ascii="Times New Roman" w:hAnsi="Times New Roman"/>
          <w:szCs w:val="21"/>
        </w:rPr>
      </w:pPr>
      <w:r>
        <w:rPr>
          <w:rStyle w:val="25"/>
          <w:rFonts w:hint="eastAsia" w:ascii="Times New Roman" w:hAnsi="Times New Roman"/>
          <w:lang w:val="en-US" w:eastAsia="zh-CN"/>
        </w:rPr>
        <w:t>2、</w:t>
      </w:r>
      <w:r>
        <w:rPr>
          <w:rStyle w:val="25"/>
          <w:rFonts w:hint="eastAsia" w:ascii="宋体" w:hAnsi="宋体" w:eastAsia="宋体" w:cs="宋体"/>
          <w:szCs w:val="21"/>
        </w:rPr>
        <w:t>投标文件中无需填写。</w:t>
      </w:r>
    </w:p>
    <w:p w14:paraId="46A87EB9">
      <w:pPr>
        <w:widowControl/>
        <w:autoSpaceDE w:val="0"/>
        <w:autoSpaceDN w:val="0"/>
        <w:spacing w:line="400" w:lineRule="atLeast"/>
        <w:ind w:firstLine="420" w:firstLineChars="200"/>
        <w:textAlignment w:val="bottom"/>
        <w:rPr>
          <w:rFonts w:ascii="Times New Roman" w:hAnsi="Times New Roman"/>
          <w:szCs w:val="21"/>
        </w:rPr>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p>
    <w:p w14:paraId="049F8DEC">
      <w:pPr>
        <w:pStyle w:val="10"/>
        <w:spacing w:before="213"/>
        <w:ind w:left="1523"/>
      </w:pPr>
      <w:r>
        <w:rPr>
          <w:rFonts w:hint="eastAsia"/>
          <w:spacing w:val="-3"/>
          <w:lang w:val="en-US" w:eastAsia="zh-CN"/>
        </w:rPr>
        <w:t>六</w:t>
      </w:r>
      <w:r>
        <w:rPr>
          <w:spacing w:val="-3"/>
        </w:rPr>
        <w:t>：结算确认书、最终结清确认书格式</w:t>
      </w:r>
    </w:p>
    <w:p w14:paraId="526624B0">
      <w:pPr>
        <w:pStyle w:val="10"/>
        <w:spacing w:before="153"/>
        <w:ind w:left="802"/>
      </w:pPr>
      <w:r>
        <w:t>（一</w:t>
      </w:r>
      <w:r>
        <w:rPr>
          <w:spacing w:val="-120"/>
        </w:rPr>
        <w:t>）</w:t>
      </w:r>
      <w:r>
        <w:rPr>
          <w:spacing w:val="-2"/>
        </w:rPr>
        <w:t>：结算确认书格式</w:t>
      </w:r>
    </w:p>
    <w:p w14:paraId="1DA56A39">
      <w:pPr>
        <w:pStyle w:val="10"/>
        <w:spacing w:before="306"/>
      </w:pPr>
    </w:p>
    <w:p w14:paraId="56212133">
      <w:pPr>
        <w:pStyle w:val="10"/>
        <w:spacing w:before="1"/>
        <w:ind w:right="91"/>
        <w:jc w:val="center"/>
      </w:pPr>
      <w:r>
        <w:rPr>
          <w:spacing w:val="-2"/>
        </w:rPr>
        <w:t>结算确认书</w:t>
      </w:r>
    </w:p>
    <w:p w14:paraId="7A7E4848">
      <w:pPr>
        <w:pStyle w:val="10"/>
        <w:tabs>
          <w:tab w:val="left" w:pos="6144"/>
        </w:tabs>
        <w:spacing w:before="93" w:line="307" w:lineRule="auto"/>
        <w:ind w:left="1283" w:right="3843"/>
        <w:jc w:val="both"/>
        <w:rPr>
          <w:rFonts w:ascii="Times New Roman" w:eastAsia="Times New Roman"/>
        </w:rPr>
      </w:pPr>
      <w:r>
        <w:rPr>
          <w:spacing w:val="-2"/>
        </w:rPr>
        <w:t>项目名称：</w:t>
      </w:r>
      <w:r>
        <w:rPr>
          <w:rFonts w:ascii="Times New Roman" w:eastAsia="Times New Roman"/>
          <w:u w:val="single"/>
        </w:rPr>
        <w:tab/>
      </w:r>
      <w:r>
        <w:rPr>
          <w:rFonts w:ascii="Times New Roman" w:eastAsia="Times New Roman"/>
          <w:u w:val="none"/>
        </w:rPr>
        <w:t xml:space="preserve"> </w:t>
      </w:r>
      <w:r>
        <w:rPr>
          <w:spacing w:val="-2"/>
          <w:u w:val="none"/>
        </w:rPr>
        <w:t>建设单位：</w:t>
      </w:r>
      <w:r>
        <w:rPr>
          <w:rFonts w:ascii="Times New Roman" w:eastAsia="Times New Roman"/>
          <w:u w:val="single"/>
        </w:rPr>
        <w:tab/>
      </w:r>
      <w:r>
        <w:rPr>
          <w:rFonts w:ascii="Times New Roman" w:eastAsia="Times New Roman"/>
          <w:u w:val="none"/>
        </w:rPr>
        <w:t xml:space="preserve"> </w:t>
      </w:r>
      <w:r>
        <w:rPr>
          <w:spacing w:val="-2"/>
          <w:u w:val="none"/>
        </w:rPr>
        <w:t>服务单位：</w:t>
      </w:r>
      <w:r>
        <w:rPr>
          <w:rFonts w:ascii="Times New Roman" w:eastAsia="Times New Roman"/>
          <w:u w:val="single"/>
        </w:rPr>
        <w:tab/>
      </w:r>
      <w:r>
        <w:rPr>
          <w:rFonts w:ascii="Times New Roman" w:eastAsia="Times New Roman"/>
          <w:u w:val="none"/>
        </w:rPr>
        <w:t xml:space="preserve"> </w:t>
      </w:r>
      <w:r>
        <w:rPr>
          <w:u w:val="none"/>
        </w:rPr>
        <w:t>监理单位</w:t>
      </w:r>
      <w:r>
        <w:rPr>
          <w:spacing w:val="-10"/>
          <w:u w:val="none"/>
        </w:rPr>
        <w:t>：</w:t>
      </w:r>
      <w:r>
        <w:rPr>
          <w:rFonts w:ascii="Times New Roman" w:eastAsia="Times New Roman"/>
          <w:u w:val="single"/>
        </w:rPr>
        <w:tab/>
      </w:r>
    </w:p>
    <w:p w14:paraId="39F383A9">
      <w:pPr>
        <w:pStyle w:val="10"/>
        <w:spacing w:line="312" w:lineRule="auto"/>
        <w:ind w:left="802" w:right="828" w:firstLine="420"/>
      </w:pPr>
      <w:r>
        <w:rPr>
          <w:spacing w:val="-2"/>
        </w:rPr>
        <w:t>本工程</w:t>
      </w:r>
      <w:r>
        <w:rPr>
          <w:rFonts w:hint="eastAsia"/>
          <w:spacing w:val="-2"/>
          <w:lang w:eastAsia="zh-CN"/>
        </w:rPr>
        <w:t>监测服务</w:t>
      </w:r>
      <w:r>
        <w:rPr>
          <w:spacing w:val="-2"/>
        </w:rPr>
        <w:t>合同的工作内容均已完成，并按合同有关要求对工程数量、造价等进行了全面度量与核算，双方同意结算如下：</w:t>
      </w:r>
    </w:p>
    <w:p w14:paraId="74A04414">
      <w:pPr>
        <w:pStyle w:val="10"/>
        <w:tabs>
          <w:tab w:val="left" w:pos="5638"/>
          <w:tab w:val="left" w:pos="8867"/>
        </w:tabs>
        <w:spacing w:line="311" w:lineRule="exact"/>
        <w:ind w:left="1223"/>
      </w:pPr>
      <w:r>
        <w:rPr>
          <w:spacing w:val="-2"/>
        </w:rPr>
        <w:t>1、签约合同总价</w:t>
      </w:r>
      <w:r>
        <w:rPr>
          <w:spacing w:val="-10"/>
        </w:rPr>
        <w:t>：</w:t>
      </w:r>
      <w:r>
        <w:rPr>
          <w:rFonts w:ascii="Times New Roman" w:eastAsia="Times New Roman"/>
          <w:u w:val="single"/>
        </w:rPr>
        <w:tab/>
      </w:r>
      <w:r>
        <w:rPr>
          <w:u w:val="none"/>
        </w:rPr>
        <w:t>元整（大写</w:t>
      </w:r>
      <w:r>
        <w:rPr>
          <w:spacing w:val="-5"/>
          <w:u w:val="none"/>
        </w:rPr>
        <w:t>）￥：</w:t>
      </w:r>
      <w:r>
        <w:rPr>
          <w:rFonts w:ascii="Times New Roman" w:eastAsia="Times New Roman"/>
          <w:u w:val="single"/>
        </w:rPr>
        <w:tab/>
      </w:r>
      <w:r>
        <w:rPr>
          <w:spacing w:val="-10"/>
          <w:u w:val="none"/>
        </w:rPr>
        <w:t>元</w:t>
      </w:r>
    </w:p>
    <w:p w14:paraId="41A80554">
      <w:pPr>
        <w:pStyle w:val="10"/>
        <w:tabs>
          <w:tab w:val="left" w:pos="5187"/>
          <w:tab w:val="left" w:pos="8431"/>
        </w:tabs>
        <w:spacing w:before="73"/>
        <w:ind w:left="1223"/>
      </w:pPr>
      <w:r>
        <w:t>2、结算总价</w:t>
      </w:r>
      <w:r>
        <w:rPr>
          <w:spacing w:val="-10"/>
        </w:rPr>
        <w:t>：</w:t>
      </w:r>
      <w:r>
        <w:rPr>
          <w:rFonts w:ascii="Times New Roman" w:eastAsia="Times New Roman"/>
          <w:u w:val="single"/>
        </w:rPr>
        <w:tab/>
      </w:r>
      <w:r>
        <w:rPr>
          <w:u w:val="none"/>
        </w:rPr>
        <w:t>元整（大写</w:t>
      </w:r>
      <w:r>
        <w:rPr>
          <w:spacing w:val="-5"/>
          <w:u w:val="none"/>
        </w:rPr>
        <w:t>）￥：</w:t>
      </w:r>
      <w:r>
        <w:rPr>
          <w:rFonts w:ascii="Times New Roman" w:eastAsia="Times New Roman"/>
          <w:u w:val="single"/>
        </w:rPr>
        <w:tab/>
      </w:r>
      <w:r>
        <w:rPr>
          <w:spacing w:val="-10"/>
          <w:u w:val="none"/>
        </w:rPr>
        <w:t>元</w:t>
      </w:r>
    </w:p>
    <w:p w14:paraId="6851BC0C">
      <w:pPr>
        <w:pStyle w:val="10"/>
        <w:tabs>
          <w:tab w:val="left" w:pos="5638"/>
          <w:tab w:val="left" w:pos="8867"/>
        </w:tabs>
        <w:spacing w:before="93"/>
        <w:ind w:left="1223"/>
      </w:pPr>
      <w:r>
        <w:rPr>
          <w:spacing w:val="-2"/>
        </w:rPr>
        <w:t>3、累计已付工程款</w:t>
      </w:r>
      <w:r>
        <w:rPr>
          <w:spacing w:val="-10"/>
        </w:rPr>
        <w:t>：</w:t>
      </w:r>
      <w:r>
        <w:rPr>
          <w:rFonts w:ascii="Times New Roman" w:eastAsia="Times New Roman"/>
          <w:u w:val="single"/>
        </w:rPr>
        <w:tab/>
      </w:r>
      <w:r>
        <w:rPr>
          <w:u w:val="none"/>
        </w:rPr>
        <w:t>元整（大写</w:t>
      </w:r>
      <w:r>
        <w:rPr>
          <w:spacing w:val="-5"/>
          <w:u w:val="none"/>
        </w:rPr>
        <w:t>）￥：</w:t>
      </w:r>
      <w:r>
        <w:rPr>
          <w:rFonts w:ascii="Times New Roman" w:eastAsia="Times New Roman"/>
          <w:u w:val="single"/>
        </w:rPr>
        <w:tab/>
      </w:r>
      <w:r>
        <w:rPr>
          <w:spacing w:val="-10"/>
          <w:u w:val="none"/>
        </w:rPr>
        <w:t>元</w:t>
      </w:r>
    </w:p>
    <w:p w14:paraId="2D67DA2E">
      <w:pPr>
        <w:pStyle w:val="10"/>
        <w:tabs>
          <w:tab w:val="left" w:pos="5187"/>
          <w:tab w:val="left" w:pos="8431"/>
        </w:tabs>
        <w:spacing w:before="93"/>
        <w:ind w:left="1223"/>
      </w:pPr>
      <w:r>
        <w:t>4、结算应付剩余工程款</w:t>
      </w:r>
      <w:r>
        <w:rPr>
          <w:spacing w:val="-10"/>
        </w:rPr>
        <w:t>：</w:t>
      </w:r>
      <w:r>
        <w:rPr>
          <w:rFonts w:ascii="Times New Roman" w:eastAsia="Times New Roman"/>
          <w:u w:val="single"/>
        </w:rPr>
        <w:tab/>
      </w:r>
      <w:r>
        <w:rPr>
          <w:u w:val="none"/>
        </w:rPr>
        <w:t>元整（大写</w:t>
      </w:r>
      <w:r>
        <w:rPr>
          <w:spacing w:val="-5"/>
          <w:u w:val="none"/>
        </w:rPr>
        <w:t>）￥：</w:t>
      </w:r>
      <w:r>
        <w:rPr>
          <w:rFonts w:ascii="Times New Roman" w:eastAsia="Times New Roman"/>
          <w:u w:val="single"/>
        </w:rPr>
        <w:tab/>
      </w:r>
      <w:r>
        <w:rPr>
          <w:spacing w:val="-10"/>
          <w:u w:val="none"/>
        </w:rPr>
        <w:t>元</w:t>
      </w:r>
    </w:p>
    <w:p w14:paraId="012D58EC">
      <w:pPr>
        <w:pStyle w:val="10"/>
        <w:tabs>
          <w:tab w:val="left" w:pos="5638"/>
          <w:tab w:val="left" w:pos="8867"/>
        </w:tabs>
        <w:spacing w:before="79" w:line="312" w:lineRule="auto"/>
        <w:ind w:left="1223" w:right="873"/>
      </w:pPr>
      <w:r>
        <w:rPr>
          <w:spacing w:val="-2"/>
        </w:rPr>
        <w:t>5、应付剩余工程款中含质量保证金：</w:t>
      </w:r>
      <w:r>
        <w:rPr>
          <w:rFonts w:ascii="Times New Roman" w:eastAsia="Times New Roman"/>
          <w:u w:val="single"/>
        </w:rPr>
        <w:tab/>
      </w:r>
      <w:r>
        <w:rPr>
          <w:spacing w:val="-2"/>
          <w:u w:val="none"/>
        </w:rPr>
        <w:t>元整（大写）￥：</w:t>
      </w:r>
      <w:r>
        <w:rPr>
          <w:rFonts w:ascii="Times New Roman" w:eastAsia="Times New Roman"/>
          <w:u w:val="single"/>
        </w:rPr>
        <w:tab/>
      </w:r>
      <w:r>
        <w:rPr>
          <w:spacing w:val="-10"/>
          <w:u w:val="none"/>
        </w:rPr>
        <w:t>元</w:t>
      </w:r>
      <w:r>
        <w:rPr>
          <w:spacing w:val="-2"/>
          <w:u w:val="none"/>
        </w:rPr>
        <w:t>服务单位谨此声明：我单位承诺，发承包双方完成结算确认后，若发包人</w:t>
      </w:r>
      <w:r>
        <w:rPr>
          <w:spacing w:val="-10"/>
          <w:u w:val="none"/>
        </w:rPr>
        <w:t>委</w:t>
      </w:r>
    </w:p>
    <w:p w14:paraId="4AA27CBB">
      <w:pPr>
        <w:pStyle w:val="10"/>
        <w:spacing w:line="304" w:lineRule="auto"/>
        <w:ind w:left="802" w:right="864"/>
        <w:jc w:val="both"/>
      </w:pPr>
      <w:r>
        <w:rPr>
          <w:spacing w:val="-7"/>
        </w:rPr>
        <w:t>托第三方审计机构或政府审计部门对本项目进行审计的，承包人承诺配合发包人</w:t>
      </w:r>
      <w:r>
        <w:rPr>
          <w:spacing w:val="-4"/>
        </w:rPr>
        <w:t>完成审计工作。双方同意，若发包人委托第三方审计机构或政府审计部门出具的</w:t>
      </w:r>
      <w:r>
        <w:rPr>
          <w:spacing w:val="-7"/>
        </w:rPr>
        <w:t>审计报告载明的审计结论对结算金额提出审减结论，则承包人应在收到发包人书</w:t>
      </w:r>
      <w:r>
        <w:rPr>
          <w:spacing w:val="-6"/>
        </w:rPr>
        <w:t xml:space="preserve">面通知之日起 </w:t>
      </w:r>
      <w:r>
        <w:rPr>
          <w:spacing w:val="-2"/>
        </w:rPr>
        <w:t>30</w:t>
      </w:r>
      <w:r>
        <w:rPr>
          <w:spacing w:val="-7"/>
        </w:rPr>
        <w:t xml:space="preserve"> 日内，将审减金额一次性退还至发包人指定账户。</w:t>
      </w:r>
      <w:r>
        <w:rPr>
          <w:rFonts w:hint="eastAsia"/>
          <w:spacing w:val="-7"/>
        </w:rPr>
        <w:t>逾期未足额退还的，乙方应按全国银行间同业拆借中心公布的同期贷款市场报价利率（一年期LPR）的利率向甲方支付违约金。违约金计算基数为乙方未退还的审减金额，时间从应退而未退该款额之日算起（不计复利）</w:t>
      </w:r>
      <w:r>
        <w:t>。</w:t>
      </w:r>
    </w:p>
    <w:p w14:paraId="1FFBB59D">
      <w:pPr>
        <w:pStyle w:val="10"/>
        <w:spacing w:before="191"/>
        <w:rPr>
          <w:sz w:val="20"/>
        </w:rPr>
      </w:pPr>
    </w:p>
    <w:tbl>
      <w:tblPr>
        <w:tblStyle w:val="24"/>
        <w:tblW w:w="0" w:type="auto"/>
        <w:tblInd w:w="11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403"/>
        <w:gridCol w:w="3637"/>
      </w:tblGrid>
      <w:tr w14:paraId="73EDD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1" w:hRule="atLeast"/>
        </w:trPr>
        <w:tc>
          <w:tcPr>
            <w:tcW w:w="4403" w:type="dxa"/>
          </w:tcPr>
          <w:p w14:paraId="02883802">
            <w:pPr>
              <w:pStyle w:val="37"/>
              <w:tabs>
                <w:tab w:val="left" w:pos="3229"/>
              </w:tabs>
              <w:spacing w:line="281" w:lineRule="exact"/>
              <w:ind w:left="50"/>
              <w:rPr>
                <w:rFonts w:ascii="Times New Roman" w:eastAsia="Times New Roman"/>
                <w:sz w:val="24"/>
              </w:rPr>
            </w:pPr>
            <w:r>
              <w:rPr>
                <w:sz w:val="24"/>
              </w:rPr>
              <w:t>建设单位</w:t>
            </w:r>
            <w:r>
              <w:rPr>
                <w:spacing w:val="-10"/>
                <w:sz w:val="24"/>
              </w:rPr>
              <w:t>：</w:t>
            </w:r>
            <w:r>
              <w:rPr>
                <w:rFonts w:ascii="Times New Roman" w:eastAsia="Times New Roman"/>
                <w:sz w:val="24"/>
                <w:u w:val="single"/>
              </w:rPr>
              <w:tab/>
            </w:r>
          </w:p>
        </w:tc>
        <w:tc>
          <w:tcPr>
            <w:tcW w:w="3637" w:type="dxa"/>
          </w:tcPr>
          <w:p w14:paraId="389E4E30">
            <w:pPr>
              <w:pStyle w:val="37"/>
              <w:tabs>
                <w:tab w:val="left" w:pos="2533"/>
              </w:tabs>
              <w:spacing w:line="281" w:lineRule="exact"/>
              <w:ind w:right="49"/>
              <w:jc w:val="right"/>
              <w:rPr>
                <w:rFonts w:ascii="Times New Roman" w:eastAsia="Times New Roman"/>
                <w:sz w:val="24"/>
              </w:rPr>
            </w:pPr>
            <w:r>
              <w:rPr>
                <w:sz w:val="24"/>
              </w:rPr>
              <w:t>服务单位</w:t>
            </w:r>
            <w:r>
              <w:rPr>
                <w:spacing w:val="-10"/>
                <w:sz w:val="24"/>
              </w:rPr>
              <w:t>：</w:t>
            </w:r>
            <w:r>
              <w:rPr>
                <w:rFonts w:ascii="Times New Roman" w:eastAsia="Times New Roman"/>
                <w:sz w:val="24"/>
                <w:u w:val="single"/>
              </w:rPr>
              <w:tab/>
            </w:r>
          </w:p>
        </w:tc>
      </w:tr>
      <w:tr w14:paraId="2CF7C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4" w:hRule="atLeast"/>
        </w:trPr>
        <w:tc>
          <w:tcPr>
            <w:tcW w:w="4403" w:type="dxa"/>
          </w:tcPr>
          <w:p w14:paraId="38216D48">
            <w:pPr>
              <w:pStyle w:val="37"/>
              <w:spacing w:before="27"/>
              <w:ind w:left="50"/>
              <w:rPr>
                <w:sz w:val="24"/>
              </w:rPr>
            </w:pPr>
            <w:r>
              <w:rPr>
                <w:sz w:val="24"/>
              </w:rPr>
              <w:t>（盖章</w:t>
            </w:r>
            <w:r>
              <w:rPr>
                <w:spacing w:val="-10"/>
                <w:sz w:val="24"/>
              </w:rPr>
              <w:t>）</w:t>
            </w:r>
          </w:p>
        </w:tc>
        <w:tc>
          <w:tcPr>
            <w:tcW w:w="3637" w:type="dxa"/>
          </w:tcPr>
          <w:p w14:paraId="76A758E1">
            <w:pPr>
              <w:pStyle w:val="37"/>
              <w:spacing w:before="27"/>
              <w:ind w:left="1173"/>
              <w:rPr>
                <w:sz w:val="24"/>
              </w:rPr>
            </w:pPr>
            <w:r>
              <w:rPr>
                <w:sz w:val="24"/>
              </w:rPr>
              <w:t>（盖章</w:t>
            </w:r>
            <w:r>
              <w:rPr>
                <w:spacing w:val="-10"/>
                <w:sz w:val="24"/>
              </w:rPr>
              <w:t>）</w:t>
            </w:r>
          </w:p>
        </w:tc>
      </w:tr>
      <w:tr w14:paraId="58F5F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4" w:hRule="atLeast"/>
        </w:trPr>
        <w:tc>
          <w:tcPr>
            <w:tcW w:w="4403" w:type="dxa"/>
          </w:tcPr>
          <w:p w14:paraId="11E016E8">
            <w:pPr>
              <w:pStyle w:val="37"/>
              <w:tabs>
                <w:tab w:val="left" w:pos="3349"/>
              </w:tabs>
              <w:spacing w:before="48"/>
              <w:ind w:left="50"/>
              <w:rPr>
                <w:rFonts w:ascii="Times New Roman" w:eastAsia="Times New Roman"/>
                <w:sz w:val="24"/>
              </w:rPr>
            </w:pPr>
            <w:r>
              <w:rPr>
                <w:sz w:val="24"/>
              </w:rPr>
              <w:t>法定代表人</w:t>
            </w:r>
            <w:r>
              <w:rPr>
                <w:spacing w:val="-10"/>
                <w:sz w:val="24"/>
              </w:rPr>
              <w:t>：</w:t>
            </w:r>
            <w:r>
              <w:rPr>
                <w:rFonts w:ascii="Times New Roman" w:eastAsia="Times New Roman"/>
                <w:sz w:val="24"/>
                <w:u w:val="single"/>
              </w:rPr>
              <w:tab/>
            </w:r>
          </w:p>
        </w:tc>
        <w:tc>
          <w:tcPr>
            <w:tcW w:w="3637" w:type="dxa"/>
          </w:tcPr>
          <w:p w14:paraId="40A4134A">
            <w:pPr>
              <w:pStyle w:val="37"/>
              <w:tabs>
                <w:tab w:val="left" w:pos="2533"/>
              </w:tabs>
              <w:spacing w:before="48"/>
              <w:ind w:right="47"/>
              <w:jc w:val="right"/>
              <w:rPr>
                <w:rFonts w:ascii="Times New Roman" w:eastAsia="Times New Roman"/>
                <w:sz w:val="24"/>
              </w:rPr>
            </w:pPr>
            <w:r>
              <w:rPr>
                <w:sz w:val="24"/>
              </w:rPr>
              <w:t>法定代表人</w:t>
            </w:r>
            <w:r>
              <w:rPr>
                <w:spacing w:val="-10"/>
                <w:sz w:val="24"/>
              </w:rPr>
              <w:t>：</w:t>
            </w:r>
            <w:r>
              <w:rPr>
                <w:rFonts w:ascii="Times New Roman" w:eastAsia="Times New Roman"/>
                <w:sz w:val="24"/>
                <w:u w:val="single"/>
              </w:rPr>
              <w:tab/>
            </w:r>
          </w:p>
        </w:tc>
      </w:tr>
      <w:tr w14:paraId="3F84A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 w:hRule="atLeast"/>
        </w:trPr>
        <w:tc>
          <w:tcPr>
            <w:tcW w:w="4403" w:type="dxa"/>
          </w:tcPr>
          <w:p w14:paraId="65BF33E1">
            <w:pPr>
              <w:pStyle w:val="37"/>
              <w:tabs>
                <w:tab w:val="left" w:pos="1010"/>
                <w:tab w:val="left" w:pos="3349"/>
              </w:tabs>
              <w:spacing w:before="39"/>
              <w:ind w:left="50"/>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c>
          <w:tcPr>
            <w:tcW w:w="3637" w:type="dxa"/>
          </w:tcPr>
          <w:p w14:paraId="77319CC3">
            <w:pPr>
              <w:pStyle w:val="37"/>
              <w:tabs>
                <w:tab w:val="left" w:pos="961"/>
                <w:tab w:val="left" w:pos="2533"/>
              </w:tabs>
              <w:spacing w:before="39"/>
              <w:ind w:right="47"/>
              <w:jc w:val="right"/>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r>
      <w:tr w14:paraId="6646A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trPr>
        <w:tc>
          <w:tcPr>
            <w:tcW w:w="4403" w:type="dxa"/>
          </w:tcPr>
          <w:p w14:paraId="127B8717">
            <w:pPr>
              <w:pStyle w:val="37"/>
              <w:tabs>
                <w:tab w:val="left" w:pos="3348"/>
              </w:tabs>
              <w:spacing w:before="31"/>
              <w:ind w:left="50"/>
              <w:rPr>
                <w:rFonts w:ascii="Times New Roman" w:eastAsia="Times New Roman"/>
                <w:sz w:val="24"/>
              </w:rPr>
            </w:pPr>
            <w:r>
              <w:rPr>
                <w:sz w:val="24"/>
              </w:rPr>
              <w:t>或授权代理人</w:t>
            </w:r>
            <w:r>
              <w:rPr>
                <w:spacing w:val="-10"/>
                <w:sz w:val="24"/>
              </w:rPr>
              <w:t>：</w:t>
            </w:r>
            <w:r>
              <w:rPr>
                <w:rFonts w:ascii="Times New Roman" w:eastAsia="Times New Roman"/>
                <w:sz w:val="24"/>
                <w:u w:val="single"/>
              </w:rPr>
              <w:tab/>
            </w:r>
          </w:p>
        </w:tc>
        <w:tc>
          <w:tcPr>
            <w:tcW w:w="3637" w:type="dxa"/>
          </w:tcPr>
          <w:p w14:paraId="72DC5949">
            <w:pPr>
              <w:pStyle w:val="37"/>
              <w:tabs>
                <w:tab w:val="left" w:pos="2533"/>
              </w:tabs>
              <w:spacing w:before="31"/>
              <w:ind w:right="49"/>
              <w:jc w:val="right"/>
              <w:rPr>
                <w:rFonts w:ascii="Times New Roman" w:eastAsia="Times New Roman"/>
                <w:sz w:val="24"/>
              </w:rPr>
            </w:pPr>
            <w:r>
              <w:rPr>
                <w:sz w:val="24"/>
              </w:rPr>
              <w:t>或授权代理人</w:t>
            </w:r>
            <w:r>
              <w:rPr>
                <w:spacing w:val="-10"/>
                <w:sz w:val="24"/>
              </w:rPr>
              <w:t>：</w:t>
            </w:r>
            <w:r>
              <w:rPr>
                <w:rFonts w:ascii="Times New Roman" w:eastAsia="Times New Roman"/>
                <w:sz w:val="24"/>
                <w:u w:val="single"/>
              </w:rPr>
              <w:tab/>
            </w:r>
          </w:p>
        </w:tc>
      </w:tr>
      <w:tr w14:paraId="32A96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5" w:hRule="atLeast"/>
        </w:trPr>
        <w:tc>
          <w:tcPr>
            <w:tcW w:w="4403" w:type="dxa"/>
          </w:tcPr>
          <w:p w14:paraId="37C35C63">
            <w:pPr>
              <w:pStyle w:val="37"/>
              <w:tabs>
                <w:tab w:val="left" w:pos="1010"/>
                <w:tab w:val="left" w:pos="3349"/>
              </w:tabs>
              <w:spacing w:before="39" w:line="276" w:lineRule="exact"/>
              <w:ind w:left="50"/>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c>
          <w:tcPr>
            <w:tcW w:w="3637" w:type="dxa"/>
          </w:tcPr>
          <w:p w14:paraId="063AE63D">
            <w:pPr>
              <w:pStyle w:val="37"/>
              <w:tabs>
                <w:tab w:val="left" w:pos="961"/>
                <w:tab w:val="left" w:pos="2533"/>
              </w:tabs>
              <w:spacing w:before="39" w:line="276" w:lineRule="exact"/>
              <w:ind w:right="47"/>
              <w:jc w:val="right"/>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r>
    </w:tbl>
    <w:p w14:paraId="4594EBFE">
      <w:pPr>
        <w:spacing w:after="0" w:line="276" w:lineRule="exact"/>
        <w:jc w:val="right"/>
        <w:rPr>
          <w:rFonts w:ascii="Times New Roman" w:eastAsia="Times New Roman"/>
          <w:sz w:val="24"/>
        </w:rPr>
        <w:sectPr>
          <w:pgSz w:w="11910" w:h="16850"/>
          <w:pgMar w:top="1400" w:right="920" w:bottom="1060" w:left="1000" w:header="0" w:footer="866" w:gutter="0"/>
          <w:cols w:space="720" w:num="1"/>
        </w:sectPr>
      </w:pPr>
    </w:p>
    <w:p w14:paraId="7FEB9EA9">
      <w:pPr>
        <w:pStyle w:val="10"/>
        <w:spacing w:before="47"/>
        <w:ind w:left="802"/>
      </w:pPr>
      <w:r>
        <w:t>（二）</w:t>
      </w:r>
      <w:r>
        <w:rPr>
          <w:spacing w:val="-2"/>
        </w:rPr>
        <w:t>最终结清确认书格式</w:t>
      </w:r>
    </w:p>
    <w:p w14:paraId="2C8B5BDD">
      <w:pPr>
        <w:pStyle w:val="10"/>
        <w:spacing w:before="306"/>
      </w:pPr>
    </w:p>
    <w:p w14:paraId="403E3432">
      <w:pPr>
        <w:pStyle w:val="10"/>
        <w:spacing w:before="1"/>
        <w:ind w:right="91"/>
        <w:jc w:val="center"/>
      </w:pPr>
      <w:r>
        <w:rPr>
          <w:spacing w:val="-2"/>
        </w:rPr>
        <w:t>最终结清确认书</w:t>
      </w:r>
    </w:p>
    <w:p w14:paraId="57C4A17F">
      <w:pPr>
        <w:pStyle w:val="10"/>
        <w:spacing w:before="171"/>
      </w:pPr>
    </w:p>
    <w:p w14:paraId="49F614F1">
      <w:pPr>
        <w:pStyle w:val="10"/>
        <w:tabs>
          <w:tab w:val="left" w:pos="6624"/>
        </w:tabs>
        <w:spacing w:line="307" w:lineRule="auto"/>
        <w:ind w:left="1763" w:right="3363"/>
        <w:jc w:val="both"/>
        <w:rPr>
          <w:rFonts w:ascii="Times New Roman" w:eastAsia="Times New Roman"/>
          <w:u w:val="none"/>
        </w:rPr>
      </w:pPr>
      <w:r>
        <w:rPr>
          <w:spacing w:val="-2"/>
        </w:rPr>
        <w:t>项目名称：</w:t>
      </w:r>
      <w:r>
        <w:rPr>
          <w:rFonts w:ascii="Times New Roman" w:eastAsia="Times New Roman"/>
          <w:u w:val="none"/>
        </w:rPr>
        <w:t xml:space="preserve"> </w:t>
      </w:r>
      <w:r>
        <w:rPr>
          <w:rFonts w:hint="eastAsia" w:ascii="Times New Roman" w:eastAsia="宋体"/>
          <w:u w:val="none"/>
          <w:lang w:val="en-US" w:eastAsia="zh-CN"/>
        </w:rPr>
        <w:t xml:space="preserve">     </w:t>
      </w:r>
      <w:r>
        <w:rPr>
          <w:spacing w:val="-2"/>
          <w:u w:val="none"/>
        </w:rPr>
        <w:t>建设单位：</w:t>
      </w:r>
      <w:r>
        <w:rPr>
          <w:rFonts w:ascii="Times New Roman" w:eastAsia="Times New Roman"/>
          <w:u w:val="none"/>
        </w:rPr>
        <w:t xml:space="preserve"> </w:t>
      </w:r>
    </w:p>
    <w:p w14:paraId="5FA9E177">
      <w:pPr>
        <w:pStyle w:val="10"/>
        <w:tabs>
          <w:tab w:val="left" w:pos="6624"/>
        </w:tabs>
        <w:spacing w:line="307" w:lineRule="auto"/>
        <w:ind w:left="1763" w:right="3363"/>
        <w:jc w:val="both"/>
        <w:rPr>
          <w:rFonts w:ascii="Times New Roman" w:eastAsia="Times New Roman"/>
        </w:rPr>
      </w:pPr>
      <w:r>
        <w:rPr>
          <w:spacing w:val="-2"/>
          <w:u w:val="none"/>
        </w:rPr>
        <w:t>服务单位：</w:t>
      </w:r>
      <w:r>
        <w:rPr>
          <w:rFonts w:hint="eastAsia"/>
          <w:spacing w:val="-2"/>
          <w:u w:val="none"/>
          <w:lang w:val="en-US" w:eastAsia="zh-CN"/>
        </w:rPr>
        <w:t xml:space="preserve">      </w:t>
      </w:r>
      <w:r>
        <w:rPr>
          <w:u w:val="none"/>
        </w:rPr>
        <w:t>监理单</w:t>
      </w:r>
      <w:r>
        <w:rPr>
          <w:rFonts w:hint="eastAsia"/>
          <w:u w:val="none"/>
          <w:lang w:val="en-US" w:eastAsia="zh-CN"/>
        </w:rPr>
        <w:t>位：</w:t>
      </w:r>
      <w:r>
        <w:rPr>
          <w:rFonts w:ascii="Times New Roman" w:eastAsia="Times New Roman"/>
          <w:u w:val="single"/>
        </w:rPr>
        <w:tab/>
      </w:r>
    </w:p>
    <w:p w14:paraId="4EBA677B">
      <w:pPr>
        <w:pStyle w:val="10"/>
        <w:spacing w:before="9" w:line="300" w:lineRule="auto"/>
        <w:ind w:left="1162" w:right="888" w:firstLine="481"/>
      </w:pPr>
      <w:r>
        <w:rPr>
          <w:spacing w:val="-2"/>
        </w:rPr>
        <w:t>本工程</w:t>
      </w:r>
      <w:r>
        <w:rPr>
          <w:rFonts w:hint="eastAsia"/>
          <w:spacing w:val="-2"/>
          <w:lang w:eastAsia="zh-CN"/>
        </w:rPr>
        <w:t>监测服务</w:t>
      </w:r>
      <w:r>
        <w:rPr>
          <w:spacing w:val="-2"/>
        </w:rPr>
        <w:t>合同的工作内容均已完成，并按合同有关要求对工程数量、造价等进行了全面度量与核算，双方同意结清如下：</w:t>
      </w:r>
    </w:p>
    <w:p w14:paraId="1E658DE5">
      <w:pPr>
        <w:pStyle w:val="10"/>
        <w:tabs>
          <w:tab w:val="left" w:pos="7225"/>
        </w:tabs>
        <w:spacing w:before="16"/>
        <w:ind w:left="1643"/>
        <w:rPr>
          <w:rFonts w:ascii="Times New Roman" w:eastAsia="Times New Roman"/>
        </w:rPr>
      </w:pPr>
      <w:r>
        <w:rPr>
          <w:rFonts w:ascii="Times New Roman" w:eastAsia="Times New Roman"/>
        </w:rPr>
        <w:t>1</w:t>
      </w:r>
      <w:r>
        <w:t>、签约合同总价：人民</w:t>
      </w:r>
      <w:r>
        <w:rPr>
          <w:spacing w:val="-10"/>
        </w:rPr>
        <w:t>币</w:t>
      </w:r>
      <w:r>
        <w:rPr>
          <w:rFonts w:ascii="Times New Roman" w:eastAsia="Times New Roman"/>
          <w:u w:val="single"/>
        </w:rPr>
        <w:tab/>
      </w:r>
    </w:p>
    <w:p w14:paraId="11559FBD">
      <w:pPr>
        <w:pStyle w:val="10"/>
        <w:tabs>
          <w:tab w:val="left" w:pos="6745"/>
        </w:tabs>
        <w:spacing w:before="93"/>
        <w:ind w:left="1643"/>
        <w:rPr>
          <w:rFonts w:ascii="Times New Roman" w:eastAsia="Times New Roman"/>
        </w:rPr>
      </w:pPr>
      <w:r>
        <w:rPr>
          <w:rFonts w:ascii="Times New Roman" w:eastAsia="Times New Roman"/>
        </w:rPr>
        <w:t>2</w:t>
      </w:r>
      <w:r>
        <w:t>、结算总价：人民</w:t>
      </w:r>
      <w:r>
        <w:rPr>
          <w:spacing w:val="-10"/>
        </w:rPr>
        <w:t>币</w:t>
      </w:r>
      <w:r>
        <w:rPr>
          <w:rFonts w:ascii="Times New Roman" w:eastAsia="Times New Roman"/>
          <w:u w:val="single"/>
        </w:rPr>
        <w:tab/>
      </w:r>
    </w:p>
    <w:p w14:paraId="4832E553">
      <w:pPr>
        <w:pStyle w:val="10"/>
        <w:tabs>
          <w:tab w:val="left" w:pos="7225"/>
        </w:tabs>
        <w:spacing w:before="79"/>
        <w:ind w:left="1643"/>
        <w:rPr>
          <w:rFonts w:ascii="Times New Roman" w:eastAsia="Times New Roman"/>
        </w:rPr>
      </w:pPr>
      <w:r>
        <w:rPr>
          <w:rFonts w:ascii="Times New Roman" w:eastAsia="Times New Roman"/>
        </w:rPr>
        <w:t>3</w:t>
      </w:r>
      <w:r>
        <w:t>、累计计量金额：人民</w:t>
      </w:r>
      <w:r>
        <w:rPr>
          <w:spacing w:val="-10"/>
        </w:rPr>
        <w:t>币</w:t>
      </w:r>
      <w:r>
        <w:rPr>
          <w:rFonts w:ascii="Times New Roman" w:eastAsia="Times New Roman"/>
          <w:u w:val="single"/>
        </w:rPr>
        <w:tab/>
      </w:r>
    </w:p>
    <w:p w14:paraId="2D15EAA8">
      <w:pPr>
        <w:pStyle w:val="10"/>
        <w:tabs>
          <w:tab w:val="left" w:pos="7465"/>
        </w:tabs>
        <w:spacing w:before="93"/>
        <w:ind w:left="1643"/>
        <w:rPr>
          <w:rFonts w:ascii="Times New Roman" w:eastAsia="Times New Roman"/>
        </w:rPr>
      </w:pPr>
      <w:r>
        <w:rPr>
          <w:rFonts w:ascii="Times New Roman" w:eastAsia="Times New Roman"/>
        </w:rPr>
        <w:t>4</w:t>
      </w:r>
      <w:r>
        <w:t>、累计已支付金额：人民</w:t>
      </w:r>
      <w:r>
        <w:rPr>
          <w:spacing w:val="-10"/>
        </w:rPr>
        <w:t>币</w:t>
      </w:r>
      <w:r>
        <w:rPr>
          <w:rFonts w:ascii="Times New Roman" w:eastAsia="Times New Roman"/>
          <w:u w:val="single"/>
        </w:rPr>
        <w:tab/>
      </w:r>
    </w:p>
    <w:p w14:paraId="51246EE0">
      <w:pPr>
        <w:pStyle w:val="10"/>
        <w:tabs>
          <w:tab w:val="left" w:pos="7465"/>
        </w:tabs>
        <w:spacing w:before="93"/>
        <w:ind w:left="1643"/>
        <w:rPr>
          <w:rFonts w:ascii="Times New Roman" w:eastAsia="Times New Roman"/>
        </w:rPr>
      </w:pPr>
      <w:r>
        <w:rPr>
          <w:rFonts w:ascii="Times New Roman" w:eastAsia="Times New Roman"/>
        </w:rPr>
        <w:t>5</w:t>
      </w:r>
      <w:r>
        <w:t>、最终应结清金额：人民</w:t>
      </w:r>
      <w:r>
        <w:rPr>
          <w:spacing w:val="-10"/>
        </w:rPr>
        <w:t>币</w:t>
      </w:r>
      <w:r>
        <w:rPr>
          <w:rFonts w:ascii="Times New Roman" w:eastAsia="Times New Roman"/>
          <w:u w:val="single"/>
        </w:rPr>
        <w:tab/>
      </w:r>
    </w:p>
    <w:p w14:paraId="26A9C4BC">
      <w:pPr>
        <w:pStyle w:val="10"/>
        <w:tabs>
          <w:tab w:val="left" w:pos="5182"/>
          <w:tab w:val="left" w:pos="6023"/>
        </w:tabs>
        <w:spacing w:before="79" w:line="312" w:lineRule="auto"/>
        <w:ind w:left="1643" w:right="3965"/>
        <w:rPr>
          <w:rFonts w:ascii="Times New Roman" w:eastAsia="Times New Roman"/>
        </w:rPr>
      </w:pPr>
      <w:r>
        <w:rPr>
          <w:spacing w:val="-2"/>
        </w:rPr>
        <w:t>收款人户名：</w:t>
      </w:r>
      <w:r>
        <w:rPr>
          <w:rFonts w:ascii="Times New Roman" w:eastAsia="Times New Roman"/>
          <w:u w:val="single"/>
        </w:rPr>
        <w:tab/>
      </w:r>
      <w:r>
        <w:rPr>
          <w:rFonts w:ascii="Times New Roman" w:eastAsia="Times New Roman"/>
          <w:u w:val="single"/>
        </w:rPr>
        <w:tab/>
      </w:r>
      <w:r>
        <w:rPr>
          <w:rFonts w:ascii="Times New Roman" w:eastAsia="Times New Roman"/>
          <w:u w:val="none"/>
        </w:rPr>
        <w:t xml:space="preserve"> </w:t>
      </w:r>
      <w:r>
        <w:rPr>
          <w:spacing w:val="-4"/>
          <w:u w:val="none"/>
        </w:rPr>
        <w:t>帐号：</w:t>
      </w:r>
      <w:r>
        <w:rPr>
          <w:rFonts w:ascii="Times New Roman" w:eastAsia="Times New Roman"/>
          <w:u w:val="single"/>
        </w:rPr>
        <w:tab/>
      </w:r>
    </w:p>
    <w:p w14:paraId="25AD6A67">
      <w:pPr>
        <w:pStyle w:val="10"/>
        <w:tabs>
          <w:tab w:val="left" w:pos="5663"/>
        </w:tabs>
        <w:spacing w:line="311" w:lineRule="exact"/>
        <w:ind w:left="1643"/>
        <w:rPr>
          <w:rFonts w:ascii="Times New Roman" w:eastAsia="Times New Roman"/>
        </w:rPr>
      </w:pPr>
      <w:r>
        <w:t>开户银行</w:t>
      </w:r>
      <w:r>
        <w:rPr>
          <w:spacing w:val="-10"/>
        </w:rPr>
        <w:t>：</w:t>
      </w:r>
      <w:r>
        <w:rPr>
          <w:rFonts w:ascii="Times New Roman" w:eastAsia="Times New Roman"/>
          <w:u w:val="single"/>
        </w:rPr>
        <w:tab/>
      </w:r>
    </w:p>
    <w:p w14:paraId="65CFEE2D">
      <w:pPr>
        <w:pStyle w:val="10"/>
        <w:spacing w:before="78" w:line="312" w:lineRule="auto"/>
        <w:ind w:left="1162" w:right="888" w:firstLine="481"/>
      </w:pPr>
      <w:r>
        <w:rPr>
          <w:spacing w:val="-2"/>
        </w:rPr>
        <w:t>谨此声明：我单位在收取上述结清费用后，本合同项下所有内容的结算费用（含合同和各项变更等费用）全部结清。我单位保证不再向合同甲方</w:t>
      </w:r>
    </w:p>
    <w:p w14:paraId="320608C5">
      <w:pPr>
        <w:pStyle w:val="10"/>
        <w:tabs>
          <w:tab w:val="left" w:pos="3926"/>
        </w:tabs>
        <w:spacing w:line="307" w:lineRule="auto"/>
        <w:ind w:left="1162" w:right="877"/>
        <w:jc w:val="both"/>
      </w:pPr>
      <w:r>
        <w:rPr>
          <w:rFonts w:ascii="Times New Roman" w:eastAsia="Times New Roman"/>
          <w:u w:val="single"/>
        </w:rPr>
        <w:tab/>
      </w:r>
      <w:r>
        <w:rPr>
          <w:spacing w:val="-10"/>
          <w:u w:val="none"/>
        </w:rPr>
        <w:t>索取与本合同项下的任何费用，并负责按合同规定</w:t>
      </w:r>
      <w:r>
        <w:rPr>
          <w:spacing w:val="-2"/>
          <w:u w:val="none"/>
        </w:rPr>
        <w:t>及国家有关法规向驻地部门缴纳税金或向有关第三者支付相关款项，同时承担工程有关的义务以及质量终身责任制。</w:t>
      </w:r>
    </w:p>
    <w:p w14:paraId="746FFF1D">
      <w:pPr>
        <w:pStyle w:val="10"/>
        <w:spacing w:before="164"/>
        <w:rPr>
          <w:sz w:val="20"/>
        </w:rPr>
      </w:pPr>
    </w:p>
    <w:tbl>
      <w:tblPr>
        <w:tblStyle w:val="24"/>
        <w:tblpPr w:leftFromText="180" w:rightFromText="180" w:vertAnchor="text" w:horzAnchor="page" w:tblpX="2124" w:tblpY="5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403"/>
        <w:gridCol w:w="3637"/>
      </w:tblGrid>
      <w:tr w14:paraId="56E14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9" w:hRule="atLeast"/>
        </w:trPr>
        <w:tc>
          <w:tcPr>
            <w:tcW w:w="4403" w:type="dxa"/>
          </w:tcPr>
          <w:p w14:paraId="37601EDC">
            <w:pPr>
              <w:pStyle w:val="37"/>
              <w:tabs>
                <w:tab w:val="left" w:pos="3229"/>
              </w:tabs>
              <w:spacing w:line="281" w:lineRule="exact"/>
              <w:ind w:left="50"/>
              <w:rPr>
                <w:rFonts w:ascii="Times New Roman" w:eastAsia="Times New Roman"/>
                <w:sz w:val="24"/>
              </w:rPr>
            </w:pPr>
            <w:r>
              <w:rPr>
                <w:sz w:val="24"/>
              </w:rPr>
              <w:t>建设单位</w:t>
            </w:r>
            <w:r>
              <w:rPr>
                <w:spacing w:val="-10"/>
                <w:sz w:val="24"/>
              </w:rPr>
              <w:t>：</w:t>
            </w:r>
            <w:r>
              <w:rPr>
                <w:rFonts w:ascii="Times New Roman" w:eastAsia="Times New Roman"/>
                <w:sz w:val="24"/>
                <w:u w:val="single"/>
              </w:rPr>
              <w:tab/>
            </w:r>
          </w:p>
        </w:tc>
        <w:tc>
          <w:tcPr>
            <w:tcW w:w="3637" w:type="dxa"/>
          </w:tcPr>
          <w:p w14:paraId="15BEF620">
            <w:pPr>
              <w:pStyle w:val="37"/>
              <w:tabs>
                <w:tab w:val="left" w:pos="2533"/>
              </w:tabs>
              <w:spacing w:line="281" w:lineRule="exact"/>
              <w:ind w:right="49"/>
              <w:jc w:val="right"/>
              <w:rPr>
                <w:rFonts w:ascii="Times New Roman" w:eastAsia="Times New Roman"/>
                <w:sz w:val="24"/>
              </w:rPr>
            </w:pPr>
            <w:r>
              <w:rPr>
                <w:sz w:val="24"/>
              </w:rPr>
              <w:t>服务单位</w:t>
            </w:r>
            <w:r>
              <w:rPr>
                <w:spacing w:val="-10"/>
                <w:sz w:val="24"/>
              </w:rPr>
              <w:t>：</w:t>
            </w:r>
            <w:r>
              <w:rPr>
                <w:rFonts w:ascii="Times New Roman" w:eastAsia="Times New Roman"/>
                <w:sz w:val="24"/>
                <w:u w:val="single"/>
              </w:rPr>
              <w:tab/>
            </w:r>
          </w:p>
        </w:tc>
      </w:tr>
      <w:tr w14:paraId="337D7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2" w:hRule="atLeast"/>
        </w:trPr>
        <w:tc>
          <w:tcPr>
            <w:tcW w:w="4403" w:type="dxa"/>
          </w:tcPr>
          <w:p w14:paraId="7DD5C8AC">
            <w:pPr>
              <w:pStyle w:val="37"/>
              <w:spacing w:before="35"/>
              <w:ind w:left="50"/>
              <w:rPr>
                <w:sz w:val="24"/>
              </w:rPr>
            </w:pPr>
            <w:r>
              <w:rPr>
                <w:sz w:val="24"/>
              </w:rPr>
              <w:t>（盖章</w:t>
            </w:r>
            <w:r>
              <w:rPr>
                <w:spacing w:val="-10"/>
                <w:sz w:val="24"/>
              </w:rPr>
              <w:t>）</w:t>
            </w:r>
          </w:p>
        </w:tc>
        <w:tc>
          <w:tcPr>
            <w:tcW w:w="3637" w:type="dxa"/>
          </w:tcPr>
          <w:p w14:paraId="7A836B85">
            <w:pPr>
              <w:pStyle w:val="37"/>
              <w:spacing w:before="35"/>
              <w:ind w:left="1173"/>
              <w:rPr>
                <w:sz w:val="24"/>
              </w:rPr>
            </w:pPr>
            <w:r>
              <w:rPr>
                <w:sz w:val="24"/>
              </w:rPr>
              <w:t>（盖章</w:t>
            </w:r>
            <w:r>
              <w:rPr>
                <w:spacing w:val="-10"/>
                <w:sz w:val="24"/>
              </w:rPr>
              <w:t>）</w:t>
            </w:r>
          </w:p>
        </w:tc>
      </w:tr>
      <w:tr w14:paraId="66476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6" w:hRule="atLeast"/>
        </w:trPr>
        <w:tc>
          <w:tcPr>
            <w:tcW w:w="4403" w:type="dxa"/>
          </w:tcPr>
          <w:p w14:paraId="273AC866">
            <w:pPr>
              <w:pStyle w:val="37"/>
              <w:tabs>
                <w:tab w:val="left" w:pos="3349"/>
              </w:tabs>
              <w:spacing w:before="48"/>
              <w:ind w:left="50"/>
              <w:rPr>
                <w:rFonts w:ascii="Times New Roman" w:eastAsia="Times New Roman"/>
                <w:sz w:val="24"/>
              </w:rPr>
            </w:pPr>
            <w:r>
              <w:rPr>
                <w:sz w:val="24"/>
              </w:rPr>
              <w:t>法定代表人</w:t>
            </w:r>
            <w:r>
              <w:rPr>
                <w:spacing w:val="-10"/>
                <w:sz w:val="24"/>
              </w:rPr>
              <w:t>：</w:t>
            </w:r>
            <w:r>
              <w:rPr>
                <w:rFonts w:ascii="Times New Roman" w:eastAsia="Times New Roman"/>
                <w:sz w:val="24"/>
                <w:u w:val="single"/>
              </w:rPr>
              <w:tab/>
            </w:r>
          </w:p>
        </w:tc>
        <w:tc>
          <w:tcPr>
            <w:tcW w:w="3637" w:type="dxa"/>
          </w:tcPr>
          <w:p w14:paraId="50B210F7">
            <w:pPr>
              <w:pStyle w:val="37"/>
              <w:tabs>
                <w:tab w:val="left" w:pos="2533"/>
              </w:tabs>
              <w:spacing w:before="48"/>
              <w:ind w:right="47"/>
              <w:jc w:val="right"/>
              <w:rPr>
                <w:rFonts w:ascii="Times New Roman" w:eastAsia="Times New Roman"/>
                <w:sz w:val="24"/>
              </w:rPr>
            </w:pPr>
            <w:r>
              <w:rPr>
                <w:sz w:val="24"/>
              </w:rPr>
              <w:t>法定代表人</w:t>
            </w:r>
            <w:r>
              <w:rPr>
                <w:spacing w:val="-10"/>
                <w:sz w:val="24"/>
              </w:rPr>
              <w:t>：</w:t>
            </w:r>
            <w:r>
              <w:rPr>
                <w:rFonts w:ascii="Times New Roman" w:eastAsia="Times New Roman"/>
                <w:sz w:val="24"/>
                <w:u w:val="single"/>
              </w:rPr>
              <w:tab/>
            </w:r>
          </w:p>
        </w:tc>
      </w:tr>
      <w:tr w14:paraId="4292B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 w:hRule="atLeast"/>
        </w:trPr>
        <w:tc>
          <w:tcPr>
            <w:tcW w:w="4403" w:type="dxa"/>
          </w:tcPr>
          <w:p w14:paraId="67CEF172">
            <w:pPr>
              <w:pStyle w:val="37"/>
              <w:tabs>
                <w:tab w:val="left" w:pos="1010"/>
                <w:tab w:val="left" w:pos="3349"/>
              </w:tabs>
              <w:spacing w:before="31"/>
              <w:ind w:left="50"/>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c>
          <w:tcPr>
            <w:tcW w:w="3637" w:type="dxa"/>
          </w:tcPr>
          <w:p w14:paraId="002F52C9">
            <w:pPr>
              <w:pStyle w:val="37"/>
              <w:tabs>
                <w:tab w:val="left" w:pos="961"/>
                <w:tab w:val="left" w:pos="2533"/>
              </w:tabs>
              <w:spacing w:before="31"/>
              <w:ind w:right="47"/>
              <w:jc w:val="right"/>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r>
      <w:tr w14:paraId="733BC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4403" w:type="dxa"/>
          </w:tcPr>
          <w:p w14:paraId="0FD58FA2">
            <w:pPr>
              <w:pStyle w:val="37"/>
              <w:tabs>
                <w:tab w:val="left" w:pos="3348"/>
              </w:tabs>
              <w:spacing w:before="39"/>
              <w:ind w:left="50"/>
              <w:rPr>
                <w:rFonts w:ascii="Times New Roman" w:eastAsia="Times New Roman"/>
                <w:sz w:val="24"/>
              </w:rPr>
            </w:pPr>
            <w:r>
              <w:rPr>
                <w:sz w:val="24"/>
              </w:rPr>
              <w:t>或授权代理人</w:t>
            </w:r>
            <w:r>
              <w:rPr>
                <w:spacing w:val="-10"/>
                <w:sz w:val="24"/>
              </w:rPr>
              <w:t>：</w:t>
            </w:r>
            <w:r>
              <w:rPr>
                <w:rFonts w:ascii="Times New Roman" w:eastAsia="Times New Roman"/>
                <w:sz w:val="24"/>
                <w:u w:val="single"/>
              </w:rPr>
              <w:tab/>
            </w:r>
          </w:p>
        </w:tc>
        <w:tc>
          <w:tcPr>
            <w:tcW w:w="3637" w:type="dxa"/>
          </w:tcPr>
          <w:p w14:paraId="01F74601">
            <w:pPr>
              <w:pStyle w:val="37"/>
              <w:tabs>
                <w:tab w:val="left" w:pos="2533"/>
              </w:tabs>
              <w:spacing w:before="39"/>
              <w:ind w:right="49"/>
              <w:jc w:val="right"/>
              <w:rPr>
                <w:rFonts w:ascii="Times New Roman" w:eastAsia="Times New Roman"/>
                <w:sz w:val="24"/>
              </w:rPr>
            </w:pPr>
            <w:r>
              <w:rPr>
                <w:sz w:val="24"/>
              </w:rPr>
              <w:t>或授权代理人</w:t>
            </w:r>
            <w:r>
              <w:rPr>
                <w:spacing w:val="-10"/>
                <w:sz w:val="24"/>
              </w:rPr>
              <w:t>：</w:t>
            </w:r>
            <w:r>
              <w:rPr>
                <w:rFonts w:ascii="Times New Roman" w:eastAsia="Times New Roman"/>
                <w:sz w:val="24"/>
                <w:u w:val="single"/>
              </w:rPr>
              <w:tab/>
            </w:r>
          </w:p>
        </w:tc>
      </w:tr>
      <w:tr w14:paraId="4C5A2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5" w:hRule="atLeast"/>
        </w:trPr>
        <w:tc>
          <w:tcPr>
            <w:tcW w:w="4403" w:type="dxa"/>
          </w:tcPr>
          <w:p w14:paraId="07EE3CF4">
            <w:pPr>
              <w:pStyle w:val="37"/>
              <w:tabs>
                <w:tab w:val="left" w:pos="1010"/>
                <w:tab w:val="left" w:pos="3349"/>
              </w:tabs>
              <w:spacing w:before="39" w:line="276" w:lineRule="exact"/>
              <w:ind w:left="50"/>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c>
          <w:tcPr>
            <w:tcW w:w="3637" w:type="dxa"/>
          </w:tcPr>
          <w:p w14:paraId="782AE364">
            <w:pPr>
              <w:pStyle w:val="37"/>
              <w:tabs>
                <w:tab w:val="left" w:pos="961"/>
                <w:tab w:val="left" w:pos="2533"/>
              </w:tabs>
              <w:spacing w:before="39" w:line="276" w:lineRule="exact"/>
              <w:ind w:right="47"/>
              <w:jc w:val="right"/>
              <w:rPr>
                <w:rFonts w:ascii="Times New Roman" w:eastAsia="Times New Roman"/>
                <w:sz w:val="24"/>
              </w:rPr>
            </w:pPr>
            <w:r>
              <w:rPr>
                <w:spacing w:val="-10"/>
                <w:sz w:val="24"/>
              </w:rPr>
              <w:t>日</w:t>
            </w:r>
            <w:r>
              <w:rPr>
                <w:sz w:val="24"/>
              </w:rPr>
              <w:tab/>
            </w:r>
            <w:r>
              <w:rPr>
                <w:sz w:val="24"/>
              </w:rPr>
              <w:t>期</w:t>
            </w:r>
            <w:r>
              <w:rPr>
                <w:spacing w:val="-10"/>
                <w:sz w:val="24"/>
              </w:rPr>
              <w:t>：</w:t>
            </w:r>
            <w:r>
              <w:rPr>
                <w:rFonts w:ascii="Times New Roman" w:eastAsia="Times New Roman"/>
                <w:sz w:val="24"/>
                <w:u w:val="single"/>
              </w:rPr>
              <w:tab/>
            </w:r>
          </w:p>
        </w:tc>
      </w:tr>
    </w:tbl>
    <w:p w14:paraId="4563B49E">
      <w:pPr>
        <w:widowControl/>
        <w:autoSpaceDE w:val="0"/>
        <w:autoSpaceDN w:val="0"/>
        <w:spacing w:line="400" w:lineRule="atLeast"/>
        <w:ind w:firstLine="420" w:firstLineChars="200"/>
        <w:textAlignment w:val="bottom"/>
        <w:rPr>
          <w:rFonts w:ascii="Times New Roman" w:hAnsi="Times New Roman"/>
          <w:szCs w:val="21"/>
        </w:rPr>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p>
    <w:bookmarkEnd w:id="279"/>
    <w:bookmarkEnd w:id="280"/>
    <w:p w14:paraId="6A63972A">
      <w:pPr>
        <w:keepNext w:val="0"/>
        <w:keepLines w:val="0"/>
        <w:widowControl w:val="0"/>
        <w:spacing w:before="340" w:after="330" w:line="576" w:lineRule="auto"/>
        <w:ind w:firstLine="0" w:firstLineChars="0"/>
        <w:jc w:val="center"/>
        <w:outlineLvl w:val="0"/>
        <w:rPr>
          <w:rFonts w:ascii="Times New Roman" w:hAnsi="Times New Roman" w:eastAsia="宋体" w:cs="Times New Roman"/>
          <w:b/>
          <w:bCs/>
          <w:kern w:val="44"/>
          <w:sz w:val="44"/>
          <w:szCs w:val="44"/>
          <w:highlight w:val="white"/>
          <w:lang w:val="en-US" w:eastAsia="zh-CN" w:bidi="ar-SA"/>
        </w:rPr>
      </w:pPr>
      <w:bookmarkStart w:id="284" w:name="_Toc8354"/>
      <w:bookmarkStart w:id="285" w:name="_Toc140053115"/>
      <w:bookmarkStart w:id="286" w:name="_Toc256000025"/>
      <w:bookmarkStart w:id="287" w:name="_Toc25102"/>
      <w:bookmarkStart w:id="288" w:name="_Toc24045"/>
      <w:r>
        <w:rPr>
          <w:rFonts w:ascii="Times New Roman" w:hAnsi="Times New Roman" w:eastAsia="宋体" w:cs="Times New Roman"/>
          <w:b/>
          <w:bCs/>
          <w:kern w:val="44"/>
          <w:sz w:val="44"/>
          <w:szCs w:val="44"/>
          <w:highlight w:val="white"/>
          <w:lang w:val="en-US" w:eastAsia="zh-CN" w:bidi="ar-SA"/>
        </w:rPr>
        <w:t>第二卷</w:t>
      </w:r>
      <w:bookmarkEnd w:id="284"/>
      <w:bookmarkEnd w:id="285"/>
      <w:bookmarkEnd w:id="286"/>
      <w:bookmarkEnd w:id="287"/>
      <w:bookmarkEnd w:id="288"/>
    </w:p>
    <w:p w14:paraId="053B2834">
      <w:pPr>
        <w:keepNext w:val="0"/>
        <w:keepLines w:val="0"/>
        <w:widowControl w:val="0"/>
        <w:spacing w:before="340" w:after="330" w:line="360" w:lineRule="auto"/>
        <w:ind w:firstLine="0" w:firstLineChars="0"/>
        <w:jc w:val="center"/>
        <w:outlineLvl w:val="0"/>
        <w:rPr>
          <w:rFonts w:ascii="Times New Roman" w:hAnsi="Times New Roman" w:eastAsia="宋体" w:cs="Times New Roman"/>
          <w:b/>
          <w:bCs/>
          <w:kern w:val="44"/>
          <w:sz w:val="44"/>
          <w:szCs w:val="44"/>
          <w:lang w:val="en-US" w:eastAsia="zh-CN" w:bidi="ar-SA"/>
        </w:rPr>
      </w:pPr>
      <w:r>
        <w:rPr>
          <w:rFonts w:ascii="Times New Roman" w:hAnsi="Times New Roman" w:eastAsia="宋体" w:cs="Times New Roman"/>
          <w:b/>
          <w:bCs/>
          <w:kern w:val="44"/>
          <w:sz w:val="44"/>
          <w:szCs w:val="44"/>
          <w:highlight w:val="white"/>
          <w:lang w:val="en-US" w:eastAsia="zh-CN" w:bidi="ar-SA"/>
        </w:rPr>
        <w:br w:type="page"/>
      </w:r>
      <w:bookmarkStart w:id="289" w:name="_Toc7607"/>
      <w:bookmarkStart w:id="290" w:name="_Toc256000026"/>
      <w:bookmarkStart w:id="291" w:name="_Toc4189"/>
      <w:bookmarkStart w:id="292" w:name="_Toc140053116"/>
      <w:bookmarkStart w:id="293" w:name="_Toc26456"/>
      <w:r>
        <w:rPr>
          <w:rFonts w:ascii="Times New Roman" w:hAnsi="Times New Roman" w:eastAsia="宋体" w:cs="Times New Roman"/>
          <w:b/>
          <w:bCs/>
          <w:kern w:val="44"/>
          <w:sz w:val="44"/>
          <w:szCs w:val="44"/>
          <w:highlight w:val="white"/>
          <w:lang w:val="en-US" w:eastAsia="zh-CN" w:bidi="ar-SA"/>
        </w:rPr>
        <w:t>第五章 招标人要求</w:t>
      </w:r>
      <w:bookmarkEnd w:id="289"/>
      <w:bookmarkEnd w:id="290"/>
      <w:bookmarkEnd w:id="291"/>
      <w:bookmarkEnd w:id="292"/>
      <w:bookmarkEnd w:id="293"/>
    </w:p>
    <w:p w14:paraId="592722A2">
      <w:pPr>
        <w:spacing w:line="320" w:lineRule="exact"/>
        <w:ind w:firstLine="480" w:firstLineChars="200"/>
        <w:jc w:val="left"/>
        <w:outlineLvl w:val="1"/>
        <w:rPr>
          <w:rFonts w:hint="eastAsia" w:ascii="Times New Roman" w:hAnsi="Times New Roman"/>
          <w:color w:val="000000"/>
          <w:sz w:val="24"/>
          <w:szCs w:val="24"/>
          <w:highlight w:val="none"/>
        </w:rPr>
      </w:pPr>
      <w:bookmarkStart w:id="294" w:name="_Toc28612"/>
      <w:bookmarkStart w:id="295" w:name="EBf75aa391d99d4e3f9b0fef839f2192da"/>
    </w:p>
    <w:bookmarkEnd w:id="294"/>
    <w:p w14:paraId="44A5CE6A">
      <w:pPr>
        <w:outlineLvl w:val="9"/>
        <w:rPr>
          <w:rFonts w:ascii="Times New Roman" w:hAnsi="Times New Roman"/>
          <w:highlight w:val="white"/>
        </w:rPr>
      </w:pPr>
      <w:r>
        <w:rPr>
          <w:rFonts w:hint="eastAsia" w:ascii="等线" w:hAnsi="等线" w:cs="等线"/>
          <w:sz w:val="24"/>
          <w:szCs w:val="24"/>
          <w:highlight w:val="none"/>
        </w:rPr>
        <w:br w:type="page"/>
      </w:r>
      <w:bookmarkEnd w:id="295"/>
      <w:bookmarkStart w:id="296" w:name="_Toc256000037"/>
      <w:bookmarkStart w:id="297" w:name="_Toc140053117"/>
      <w:bookmarkStart w:id="298" w:name="_Toc14499"/>
    </w:p>
    <w:p w14:paraId="16CBB064">
      <w:pPr>
        <w:outlineLvl w:val="9"/>
        <w:rPr>
          <w:rFonts w:ascii="Times New Roman" w:hAnsi="Times New Roman"/>
          <w:highlight w:val="white"/>
        </w:rPr>
      </w:pPr>
    </w:p>
    <w:p w14:paraId="0164B9FC">
      <w:pPr>
        <w:outlineLvl w:val="9"/>
        <w:rPr>
          <w:rFonts w:ascii="Times New Roman" w:hAnsi="Times New Roman"/>
          <w:highlight w:val="white"/>
        </w:rPr>
      </w:pPr>
    </w:p>
    <w:p w14:paraId="0638F32D">
      <w:pPr>
        <w:keepNext w:val="0"/>
        <w:keepLines w:val="0"/>
        <w:widowControl w:val="0"/>
        <w:spacing w:before="340" w:after="330" w:line="576" w:lineRule="auto"/>
        <w:ind w:firstLine="0" w:firstLineChars="0"/>
        <w:jc w:val="center"/>
        <w:outlineLvl w:val="0"/>
        <w:rPr>
          <w:rFonts w:ascii="Times New Roman" w:hAnsi="Times New Roman" w:eastAsia="宋体" w:cs="Times New Roman"/>
          <w:b/>
          <w:bCs/>
          <w:kern w:val="44"/>
          <w:sz w:val="44"/>
          <w:szCs w:val="44"/>
          <w:lang w:val="en-US" w:eastAsia="zh-CN" w:bidi="ar-SA"/>
        </w:rPr>
      </w:pPr>
      <w:bookmarkStart w:id="299" w:name="_Toc8163"/>
      <w:bookmarkStart w:id="300" w:name="_Toc567"/>
      <w:r>
        <w:rPr>
          <w:rFonts w:ascii="Times New Roman" w:hAnsi="Times New Roman" w:eastAsia="宋体" w:cs="Times New Roman"/>
          <w:b/>
          <w:bCs/>
          <w:kern w:val="44"/>
          <w:sz w:val="44"/>
          <w:szCs w:val="44"/>
          <w:highlight w:val="white"/>
          <w:lang w:val="en-US" w:eastAsia="zh-CN" w:bidi="ar-SA"/>
        </w:rPr>
        <w:t>第三卷</w:t>
      </w:r>
      <w:bookmarkEnd w:id="296"/>
      <w:bookmarkEnd w:id="297"/>
      <w:bookmarkEnd w:id="298"/>
      <w:bookmarkEnd w:id="299"/>
      <w:bookmarkEnd w:id="300"/>
    </w:p>
    <w:p w14:paraId="3B20A61D">
      <w:pPr>
        <w:outlineLvl w:val="9"/>
        <w:rPr>
          <w:rFonts w:ascii="Times New Roman" w:hAnsi="Times New Roman"/>
        </w:rPr>
      </w:pPr>
      <w:r>
        <w:rPr>
          <w:rFonts w:ascii="Times New Roman" w:hAnsi="Times New Roman"/>
          <w:highlight w:val="white"/>
        </w:rPr>
        <w:br w:type="page"/>
      </w:r>
    </w:p>
    <w:p w14:paraId="0AD51455">
      <w:pPr>
        <w:keepNext w:val="0"/>
        <w:keepLines w:val="0"/>
        <w:widowControl w:val="0"/>
        <w:spacing w:before="340" w:after="330" w:line="576" w:lineRule="auto"/>
        <w:ind w:firstLine="0" w:firstLineChars="0"/>
        <w:jc w:val="center"/>
        <w:outlineLvl w:val="0"/>
        <w:rPr>
          <w:rFonts w:ascii="Times New Roman" w:hAnsi="Times New Roman" w:eastAsia="宋体" w:cs="Times New Roman"/>
          <w:b/>
          <w:bCs/>
          <w:kern w:val="44"/>
          <w:sz w:val="44"/>
          <w:szCs w:val="44"/>
          <w:lang w:val="en-US" w:eastAsia="zh-CN" w:bidi="ar-SA"/>
        </w:rPr>
      </w:pPr>
      <w:bookmarkStart w:id="301" w:name="_Toc1911"/>
      <w:bookmarkStart w:id="302" w:name="_Toc15107"/>
      <w:bookmarkStart w:id="303" w:name="_Toc140053118"/>
      <w:bookmarkStart w:id="304" w:name="_Toc18111"/>
      <w:bookmarkStart w:id="305" w:name="_Toc256000039"/>
      <w:r>
        <w:rPr>
          <w:rFonts w:ascii="Times New Roman" w:hAnsi="Times New Roman" w:eastAsia="宋体" w:cs="Times New Roman"/>
          <w:b/>
          <w:bCs/>
          <w:kern w:val="44"/>
          <w:sz w:val="44"/>
          <w:szCs w:val="44"/>
          <w:highlight w:val="white"/>
          <w:lang w:val="en-US" w:eastAsia="zh-CN" w:bidi="ar-SA"/>
        </w:rPr>
        <w:t>第六章 投标文件格式</w:t>
      </w:r>
      <w:bookmarkEnd w:id="301"/>
      <w:bookmarkEnd w:id="302"/>
      <w:bookmarkEnd w:id="303"/>
      <w:bookmarkEnd w:id="304"/>
      <w:bookmarkEnd w:id="305"/>
    </w:p>
    <w:p w14:paraId="2FCFB3D7">
      <w:pPr>
        <w:rPr>
          <w:rFonts w:ascii="Times New Roman" w:hAnsi="Times New Roman"/>
          <w:highlight w:val="red"/>
        </w:rPr>
      </w:pPr>
      <w:r>
        <w:rPr>
          <w:rFonts w:ascii="Times New Roman" w:hAnsi="Times New Roman"/>
          <w:highlight w:val="white"/>
        </w:rPr>
        <w:t xml:space="preserve"> </w:t>
      </w:r>
      <w:bookmarkStart w:id="306" w:name="EB7500ccdbe89e42689f101e586c626b81"/>
    </w:p>
    <w:p w14:paraId="5965AB54">
      <w:pPr>
        <w:pStyle w:val="38"/>
        <w:outlineLvl w:val="9"/>
      </w:pPr>
      <w:r>
        <w:br w:type="page"/>
      </w:r>
    </w:p>
    <w:p w14:paraId="385ED91E">
      <w:pPr>
        <w:pStyle w:val="15"/>
      </w:pPr>
      <w:r>
        <w:rPr>
          <w:rFonts w:ascii="Tahoma" w:hAnsi="Tahoma" w:eastAsia="宋体" w:cs="Tahoma"/>
        </w:rPr>
        <w:t>﻿</w:t>
      </w:r>
      <w:r>
        <w:rPr>
          <w:rFonts w:eastAsia="宋体"/>
        </w:rPr>
        <w:t xml:space="preserve"> </w:t>
      </w:r>
    </w:p>
    <w:p w14:paraId="69414453">
      <w:pPr>
        <w:pStyle w:val="15"/>
        <w:spacing w:before="240" w:after="240"/>
        <w:rPr>
          <w:rFonts w:eastAsia="宋体"/>
        </w:rPr>
      </w:pPr>
      <w:r>
        <w:rPr>
          <w:rFonts w:eastAsia="宋体"/>
        </w:rPr>
        <w:t> </w:t>
      </w:r>
    </w:p>
    <w:p w14:paraId="02FF8679">
      <w:pPr>
        <w:pStyle w:val="15"/>
        <w:spacing w:before="240" w:after="240"/>
        <w:rPr>
          <w:rFonts w:eastAsia="宋体"/>
        </w:rPr>
      </w:pPr>
      <w:r>
        <w:rPr>
          <w:rFonts w:eastAsia="宋体"/>
        </w:rPr>
        <w:t> </w:t>
      </w:r>
    </w:p>
    <w:p w14:paraId="26C0DFAC">
      <w:pPr>
        <w:pStyle w:val="15"/>
        <w:spacing w:before="240" w:after="240"/>
        <w:jc w:val="center"/>
        <w:outlineLvl w:val="1"/>
        <w:rPr>
          <w:rFonts w:eastAsia="宋体"/>
        </w:rPr>
      </w:pPr>
      <w:bookmarkStart w:id="307" w:name="_Toc31895"/>
      <w:r>
        <w:rPr>
          <w:rFonts w:eastAsia="宋体"/>
          <w:sz w:val="40"/>
          <w:szCs w:val="40"/>
          <w:u w:val="single"/>
        </w:rPr>
        <w:t>   </w:t>
      </w:r>
      <w:r>
        <w:rPr>
          <w:rFonts w:eastAsia="宋体"/>
          <w:sz w:val="40"/>
          <w:szCs w:val="40"/>
        </w:rPr>
        <w:t>（项目名称）</w:t>
      </w:r>
      <w:r>
        <w:rPr>
          <w:rFonts w:eastAsia="宋体"/>
          <w:sz w:val="40"/>
          <w:szCs w:val="40"/>
          <w:u w:val="single"/>
        </w:rPr>
        <w:t>   </w:t>
      </w:r>
      <w:r>
        <w:rPr>
          <w:rFonts w:eastAsia="宋体"/>
          <w:sz w:val="40"/>
          <w:szCs w:val="40"/>
        </w:rPr>
        <w:t>（标段名称）</w:t>
      </w:r>
      <w:r>
        <w:rPr>
          <w:rFonts w:eastAsia="宋体"/>
          <w:sz w:val="30"/>
          <w:szCs w:val="30"/>
          <w:u w:val="single"/>
        </w:rPr>
        <w:t>   </w:t>
      </w:r>
      <w:r>
        <w:rPr>
          <w:rFonts w:eastAsia="宋体"/>
          <w:sz w:val="40"/>
          <w:szCs w:val="40"/>
        </w:rPr>
        <w:t>（服务名称）招标</w:t>
      </w:r>
      <w:bookmarkEnd w:id="307"/>
    </w:p>
    <w:p w14:paraId="58B6C003">
      <w:pPr>
        <w:pStyle w:val="15"/>
        <w:spacing w:before="240" w:after="240"/>
        <w:rPr>
          <w:rFonts w:eastAsia="宋体"/>
        </w:rPr>
      </w:pPr>
      <w:r>
        <w:rPr>
          <w:rFonts w:eastAsia="宋体"/>
        </w:rPr>
        <w:t> </w:t>
      </w:r>
    </w:p>
    <w:p w14:paraId="19A8AE5B">
      <w:pPr>
        <w:pStyle w:val="15"/>
        <w:spacing w:before="240" w:after="240"/>
        <w:rPr>
          <w:rFonts w:eastAsia="宋体"/>
        </w:rPr>
      </w:pPr>
      <w:r>
        <w:rPr>
          <w:rFonts w:eastAsia="宋体"/>
        </w:rPr>
        <w:t> </w:t>
      </w:r>
    </w:p>
    <w:p w14:paraId="4DA55411">
      <w:pPr>
        <w:pStyle w:val="15"/>
        <w:spacing w:before="240" w:after="240"/>
        <w:jc w:val="center"/>
        <w:rPr>
          <w:rFonts w:eastAsia="宋体"/>
        </w:rPr>
      </w:pPr>
      <w:r>
        <w:rPr>
          <w:rFonts w:eastAsia="宋体"/>
        </w:rPr>
        <w:t> </w:t>
      </w:r>
    </w:p>
    <w:p w14:paraId="199E1E32">
      <w:pPr>
        <w:pStyle w:val="15"/>
        <w:spacing w:before="240" w:after="240"/>
        <w:jc w:val="center"/>
        <w:rPr>
          <w:rFonts w:eastAsia="宋体"/>
        </w:rPr>
      </w:pPr>
      <w:r>
        <w:rPr>
          <w:rFonts w:eastAsia="宋体"/>
          <w:sz w:val="44"/>
          <w:szCs w:val="44"/>
        </w:rPr>
        <w:t>投 标 文 件</w:t>
      </w:r>
    </w:p>
    <w:p w14:paraId="53F26D30">
      <w:pPr>
        <w:pStyle w:val="15"/>
        <w:spacing w:before="240" w:after="240"/>
        <w:rPr>
          <w:rFonts w:eastAsia="宋体"/>
        </w:rPr>
      </w:pPr>
      <w:r>
        <w:rPr>
          <w:rFonts w:eastAsia="宋体"/>
        </w:rPr>
        <w:t> </w:t>
      </w:r>
    </w:p>
    <w:p w14:paraId="5794217F">
      <w:pPr>
        <w:pStyle w:val="15"/>
        <w:spacing w:before="240" w:after="240"/>
        <w:rPr>
          <w:rFonts w:eastAsia="宋体"/>
        </w:rPr>
      </w:pPr>
      <w:r>
        <w:rPr>
          <w:rFonts w:eastAsia="宋体"/>
        </w:rPr>
        <w:t> </w:t>
      </w:r>
    </w:p>
    <w:p w14:paraId="1D335164">
      <w:pPr>
        <w:pStyle w:val="15"/>
        <w:spacing w:before="240" w:after="240"/>
        <w:jc w:val="center"/>
        <w:rPr>
          <w:rFonts w:eastAsia="宋体"/>
        </w:rPr>
      </w:pPr>
      <w:r>
        <w:rPr>
          <w:rFonts w:eastAsia="宋体"/>
          <w:sz w:val="40"/>
          <w:szCs w:val="40"/>
        </w:rPr>
        <w:t>招标编号:</w:t>
      </w:r>
      <w:r>
        <w:rPr>
          <w:rFonts w:eastAsia="宋体"/>
          <w:sz w:val="40"/>
          <w:szCs w:val="40"/>
          <w:u w:val="single"/>
        </w:rPr>
        <w:t>   </w:t>
      </w:r>
    </w:p>
    <w:p w14:paraId="3A7F5C0D">
      <w:pPr>
        <w:pStyle w:val="15"/>
        <w:spacing w:before="240" w:after="240"/>
        <w:rPr>
          <w:rFonts w:eastAsia="宋体"/>
        </w:rPr>
      </w:pPr>
      <w:r>
        <w:rPr>
          <w:rFonts w:eastAsia="宋体"/>
        </w:rPr>
        <w:t> </w:t>
      </w:r>
    </w:p>
    <w:p w14:paraId="4618821D">
      <w:pPr>
        <w:pStyle w:val="15"/>
        <w:spacing w:before="240" w:after="240"/>
        <w:rPr>
          <w:rFonts w:eastAsia="宋体"/>
        </w:rPr>
      </w:pPr>
      <w:r>
        <w:rPr>
          <w:rFonts w:eastAsia="宋体"/>
        </w:rPr>
        <w:t> </w:t>
      </w:r>
    </w:p>
    <w:p w14:paraId="336BB7CF">
      <w:pPr>
        <w:pStyle w:val="15"/>
        <w:spacing w:before="240" w:after="240"/>
        <w:rPr>
          <w:rFonts w:eastAsia="宋体"/>
        </w:rPr>
      </w:pPr>
      <w:r>
        <w:rPr>
          <w:rFonts w:eastAsia="宋体"/>
        </w:rPr>
        <w:t> </w:t>
      </w:r>
    </w:p>
    <w:p w14:paraId="365F6D45">
      <w:pPr>
        <w:pStyle w:val="15"/>
        <w:spacing w:before="240" w:after="240"/>
        <w:rPr>
          <w:rFonts w:eastAsia="宋体"/>
        </w:rPr>
      </w:pPr>
      <w:r>
        <w:rPr>
          <w:rFonts w:eastAsia="宋体"/>
        </w:rPr>
        <w:t> </w:t>
      </w:r>
    </w:p>
    <w:p w14:paraId="5844C917">
      <w:pPr>
        <w:pStyle w:val="15"/>
        <w:spacing w:before="240" w:after="240"/>
        <w:ind w:firstLine="3000"/>
        <w:rPr>
          <w:rFonts w:eastAsia="宋体"/>
        </w:rPr>
      </w:pPr>
      <w:r>
        <w:rPr>
          <w:rFonts w:eastAsia="宋体"/>
          <w:sz w:val="30"/>
          <w:szCs w:val="30"/>
        </w:rPr>
        <w:t>投标人：</w:t>
      </w:r>
      <w:r>
        <w:rPr>
          <w:rFonts w:eastAsia="宋体"/>
          <w:sz w:val="30"/>
          <w:szCs w:val="30"/>
          <w:u w:val="single"/>
        </w:rPr>
        <w:t>   </w:t>
      </w:r>
      <w:r>
        <w:rPr>
          <w:rFonts w:eastAsia="宋体"/>
          <w:sz w:val="30"/>
          <w:szCs w:val="30"/>
        </w:rPr>
        <w:t>（盖单位章）</w:t>
      </w:r>
    </w:p>
    <w:p w14:paraId="01A04A26">
      <w:pPr>
        <w:pStyle w:val="15"/>
        <w:spacing w:before="240" w:after="240"/>
        <w:rPr>
          <w:rFonts w:eastAsia="宋体"/>
        </w:rPr>
      </w:pPr>
      <w:r>
        <w:rPr>
          <w:rFonts w:eastAsia="宋体"/>
        </w:rPr>
        <w:t> </w:t>
      </w:r>
    </w:p>
    <w:p w14:paraId="50A91706">
      <w:pPr>
        <w:pStyle w:val="15"/>
        <w:spacing w:before="240" w:after="240"/>
        <w:ind w:firstLine="3000"/>
        <w:rPr>
          <w:rFonts w:eastAsia="宋体"/>
        </w:rPr>
      </w:pPr>
      <w:r>
        <w:rPr>
          <w:rFonts w:eastAsia="宋体"/>
          <w:sz w:val="30"/>
          <w:szCs w:val="30"/>
        </w:rPr>
        <w:t>法定代表人：</w:t>
      </w:r>
      <w:r>
        <w:rPr>
          <w:rFonts w:eastAsia="宋体"/>
          <w:sz w:val="30"/>
          <w:szCs w:val="30"/>
          <w:u w:val="single"/>
        </w:rPr>
        <w:t>   </w:t>
      </w:r>
      <w:r>
        <w:rPr>
          <w:rFonts w:eastAsia="宋体"/>
          <w:sz w:val="30"/>
          <w:szCs w:val="30"/>
        </w:rPr>
        <w:t>（签字）</w:t>
      </w:r>
    </w:p>
    <w:p w14:paraId="47FAE7B1">
      <w:pPr>
        <w:pStyle w:val="15"/>
        <w:spacing w:before="240" w:after="240"/>
        <w:rPr>
          <w:rFonts w:eastAsia="宋体"/>
        </w:rPr>
      </w:pPr>
      <w:r>
        <w:rPr>
          <w:rFonts w:eastAsia="宋体"/>
        </w:rPr>
        <w:t> </w:t>
      </w:r>
    </w:p>
    <w:p w14:paraId="65EF4B17">
      <w:pPr>
        <w:pStyle w:val="15"/>
        <w:spacing w:before="240" w:after="240"/>
        <w:ind w:firstLine="3000"/>
        <w:rPr>
          <w:rFonts w:eastAsia="宋体"/>
        </w:rPr>
      </w:pPr>
      <w:r>
        <w:rPr>
          <w:rFonts w:eastAsia="宋体"/>
        </w:rPr>
        <w:t>日期：</w:t>
      </w:r>
      <w:r>
        <w:rPr>
          <w:rFonts w:eastAsia="宋体"/>
          <w:u w:val="single"/>
        </w:rPr>
        <w:t xml:space="preserve">                     </w:t>
      </w:r>
    </w:p>
    <w:p w14:paraId="2CF65862">
      <w:pPr>
        <w:pStyle w:val="15"/>
        <w:spacing w:before="240" w:after="240"/>
        <w:rPr>
          <w:rFonts w:eastAsia="宋体"/>
        </w:rPr>
      </w:pPr>
      <w:r>
        <w:rPr>
          <w:rFonts w:eastAsia="宋体"/>
        </w:rPr>
        <w:t> </w:t>
      </w:r>
    </w:p>
    <w:p w14:paraId="76F9FD5E">
      <w:pPr>
        <w:pStyle w:val="15"/>
        <w:spacing w:before="240" w:after="240"/>
        <w:rPr>
          <w:rFonts w:eastAsia="宋体"/>
        </w:rPr>
      </w:pPr>
      <w:r>
        <w:rPr>
          <w:rFonts w:eastAsia="宋体"/>
        </w:rPr>
        <w:t> </w:t>
      </w:r>
    </w:p>
    <w:p w14:paraId="0DA33537">
      <w:pPr>
        <w:pStyle w:val="15"/>
        <w:spacing w:before="240" w:after="240"/>
        <w:rPr>
          <w:rFonts w:eastAsia="宋体"/>
        </w:rPr>
      </w:pPr>
    </w:p>
    <w:p w14:paraId="0799AFA4">
      <w:pPr>
        <w:rPr>
          <w:rFonts w:ascii="Times New Roman" w:hAnsi="Times New Roman"/>
          <w:highlight w:val="red"/>
        </w:rPr>
      </w:pPr>
    </w:p>
    <w:p w14:paraId="5B94F256">
      <w:pPr>
        <w:pStyle w:val="39"/>
        <w:spacing w:after="400"/>
        <w:jc w:val="center"/>
        <w:rPr>
          <w:rFonts w:eastAsia="黑体"/>
          <w:sz w:val="40"/>
          <w:szCs w:val="40"/>
        </w:rPr>
      </w:pPr>
      <w:r>
        <w:rPr>
          <w:rFonts w:eastAsia="黑体"/>
          <w:sz w:val="40"/>
          <w:szCs w:val="40"/>
        </w:rPr>
        <w:t>目  录</w:t>
      </w:r>
    </w:p>
    <w:p w14:paraId="6ABBF733">
      <w:pPr>
        <w:pStyle w:val="39"/>
        <w:spacing w:before="240" w:after="240" w:line="200" w:lineRule="atLeast"/>
        <w:rPr>
          <w:rFonts w:hint="eastAsia" w:eastAsia="宋体"/>
        </w:rPr>
      </w:pPr>
      <w:r>
        <w:rPr>
          <w:rFonts w:hint="eastAsia" w:eastAsia="宋体"/>
        </w:rPr>
        <w:t>一、投标函及投标函附录</w:t>
      </w:r>
    </w:p>
    <w:p w14:paraId="14B41680">
      <w:pPr>
        <w:pStyle w:val="39"/>
        <w:spacing w:before="240" w:after="240" w:line="200" w:lineRule="atLeast"/>
        <w:rPr>
          <w:rFonts w:hint="eastAsia" w:eastAsia="宋体"/>
        </w:rPr>
      </w:pPr>
      <w:r>
        <w:rPr>
          <w:rFonts w:hint="eastAsia" w:eastAsia="宋体"/>
        </w:rPr>
        <w:t>二、法定代表人身份证明</w:t>
      </w:r>
    </w:p>
    <w:p w14:paraId="3F12CEF7">
      <w:pPr>
        <w:pStyle w:val="39"/>
        <w:spacing w:before="240" w:after="240" w:line="200" w:lineRule="atLeast"/>
        <w:rPr>
          <w:rFonts w:hint="eastAsia" w:eastAsia="宋体"/>
        </w:rPr>
      </w:pPr>
      <w:r>
        <w:rPr>
          <w:rFonts w:hint="eastAsia" w:eastAsia="宋体"/>
        </w:rPr>
        <w:t>三、投标保证金</w:t>
      </w:r>
    </w:p>
    <w:p w14:paraId="7D331490">
      <w:pPr>
        <w:pStyle w:val="39"/>
        <w:spacing w:before="240" w:after="240" w:line="200" w:lineRule="atLeast"/>
        <w:rPr>
          <w:rFonts w:hint="eastAsia" w:eastAsia="宋体"/>
        </w:rPr>
      </w:pPr>
      <w:r>
        <w:rPr>
          <w:rFonts w:hint="eastAsia" w:eastAsia="宋体"/>
        </w:rPr>
        <w:t>四、联合体协议书（如有）</w:t>
      </w:r>
    </w:p>
    <w:p w14:paraId="7DF4C730">
      <w:pPr>
        <w:pStyle w:val="39"/>
        <w:spacing w:before="240" w:after="240" w:line="200" w:lineRule="atLeast"/>
        <w:rPr>
          <w:rFonts w:hint="eastAsia" w:eastAsia="宋体"/>
        </w:rPr>
      </w:pPr>
      <w:r>
        <w:rPr>
          <w:rFonts w:hint="eastAsia" w:eastAsia="宋体"/>
        </w:rPr>
        <w:t>五、拟分包计划表（适用于非政府采购与工程建设有关的服务）</w:t>
      </w:r>
    </w:p>
    <w:p w14:paraId="530916B1">
      <w:pPr>
        <w:pStyle w:val="39"/>
        <w:spacing w:before="240" w:after="240" w:line="200" w:lineRule="atLeast"/>
        <w:rPr>
          <w:rFonts w:hint="eastAsia" w:eastAsia="宋体"/>
        </w:rPr>
      </w:pPr>
      <w:r>
        <w:rPr>
          <w:rFonts w:hint="eastAsia" w:eastAsia="宋体"/>
        </w:rPr>
        <w:t>五、分包意向协议书（适用于政府采购与工程建设有关的服务）</w:t>
      </w:r>
    </w:p>
    <w:p w14:paraId="679CF251">
      <w:pPr>
        <w:pStyle w:val="39"/>
        <w:spacing w:before="240" w:after="240" w:line="200" w:lineRule="atLeast"/>
        <w:rPr>
          <w:rFonts w:hint="eastAsia" w:eastAsia="宋体"/>
        </w:rPr>
      </w:pPr>
      <w:r>
        <w:rPr>
          <w:rFonts w:hint="eastAsia" w:eastAsia="宋体"/>
        </w:rPr>
        <w:t>六、中小企业声明函（适用于政府采购与工程建设有关的服务）</w:t>
      </w:r>
    </w:p>
    <w:p w14:paraId="24154136">
      <w:pPr>
        <w:pStyle w:val="39"/>
        <w:spacing w:before="240" w:after="240" w:line="200" w:lineRule="atLeast"/>
        <w:rPr>
          <w:rFonts w:hint="eastAsia" w:eastAsia="宋体"/>
        </w:rPr>
      </w:pPr>
      <w:r>
        <w:rPr>
          <w:rFonts w:hint="eastAsia" w:eastAsia="宋体"/>
        </w:rPr>
        <w:t>七、资格审查资料</w:t>
      </w:r>
    </w:p>
    <w:p w14:paraId="77A45554">
      <w:pPr>
        <w:pStyle w:val="39"/>
        <w:spacing w:before="240" w:after="240" w:line="200" w:lineRule="atLeast"/>
        <w:rPr>
          <w:rFonts w:hint="eastAsia" w:eastAsia="宋体"/>
        </w:rPr>
      </w:pPr>
      <w:r>
        <w:rPr>
          <w:rFonts w:hint="eastAsia" w:eastAsia="宋体"/>
        </w:rPr>
        <w:t>八、投标报价清单</w:t>
      </w:r>
    </w:p>
    <w:p w14:paraId="1D45F7BE">
      <w:pPr>
        <w:pStyle w:val="39"/>
        <w:spacing w:before="240" w:after="240" w:line="200" w:lineRule="atLeast"/>
        <w:rPr>
          <w:rFonts w:hint="eastAsia" w:eastAsia="宋体"/>
        </w:rPr>
      </w:pPr>
      <w:r>
        <w:rPr>
          <w:rFonts w:hint="eastAsia" w:eastAsia="宋体"/>
        </w:rPr>
        <w:t>九、技术建议书</w:t>
      </w:r>
    </w:p>
    <w:p w14:paraId="2A46790E">
      <w:pPr>
        <w:rPr>
          <w:rFonts w:ascii="Times New Roman" w:hAnsi="Times New Roman"/>
          <w:highlight w:val="red"/>
        </w:rPr>
      </w:pPr>
      <w:r>
        <w:rPr>
          <w:rFonts w:hint="eastAsia" w:eastAsia="宋体"/>
        </w:rPr>
        <w:t>十、其他资料</w:t>
      </w:r>
    </w:p>
    <w:p w14:paraId="46FEA539">
      <w:pPr>
        <w:pStyle w:val="40"/>
        <w:jc w:val="center"/>
        <w:outlineLvl w:val="1"/>
      </w:pPr>
      <w:r>
        <w:br w:type="page"/>
      </w:r>
      <w:bookmarkStart w:id="308" w:name="_Toc30352"/>
      <w:bookmarkStart w:id="309" w:name="_Toc7824"/>
      <w:bookmarkStart w:id="310" w:name="_Toc12569"/>
      <w:bookmarkStart w:id="311" w:name="_Toc256000041"/>
      <w:r>
        <w:rPr>
          <w:rFonts w:eastAsia="黑体"/>
          <w:sz w:val="32"/>
        </w:rPr>
        <w:t>一、投标函及投标函附录</w:t>
      </w:r>
      <w:bookmarkEnd w:id="308"/>
      <w:bookmarkEnd w:id="309"/>
      <w:bookmarkEnd w:id="310"/>
      <w:bookmarkEnd w:id="311"/>
    </w:p>
    <w:p w14:paraId="578047FB">
      <w:pPr>
        <w:pStyle w:val="41"/>
      </w:pPr>
      <w:r>
        <w:rPr>
          <w:rFonts w:ascii="Tahoma" w:hAnsi="Tahoma" w:eastAsia="宋体" w:cs="Tahoma"/>
        </w:rPr>
        <w:t>﻿</w:t>
      </w:r>
      <w:r>
        <w:rPr>
          <w:rFonts w:eastAsia="宋体"/>
        </w:rPr>
        <w:t xml:space="preserve"> </w:t>
      </w:r>
    </w:p>
    <w:p w14:paraId="543B1B17">
      <w:pPr>
        <w:pStyle w:val="41"/>
        <w:spacing w:before="320" w:after="320"/>
        <w:jc w:val="center"/>
        <w:rPr>
          <w:rFonts w:eastAsia="宋体"/>
          <w:b/>
          <w:bCs/>
          <w:sz w:val="32"/>
          <w:szCs w:val="32"/>
        </w:rPr>
      </w:pPr>
      <w:r>
        <w:rPr>
          <w:rFonts w:eastAsia="宋体"/>
          <w:b/>
          <w:bCs/>
          <w:sz w:val="32"/>
          <w:szCs w:val="32"/>
        </w:rPr>
        <w:t xml:space="preserve">（一）投标函 </w:t>
      </w:r>
    </w:p>
    <w:p w14:paraId="2E24F4D4">
      <w:pPr>
        <w:pStyle w:val="41"/>
        <w:spacing w:before="240" w:after="240" w:line="360" w:lineRule="atLeast"/>
        <w:rPr>
          <w:rFonts w:eastAsia="宋体"/>
        </w:rPr>
      </w:pPr>
      <w:r>
        <w:rPr>
          <w:rFonts w:eastAsia="宋体"/>
        </w:rPr>
        <w:t> 致：</w:t>
      </w:r>
      <w:r>
        <w:rPr>
          <w:rFonts w:eastAsia="宋体"/>
          <w:u w:val="single"/>
        </w:rPr>
        <w:t>   </w:t>
      </w:r>
      <w:r>
        <w:rPr>
          <w:rFonts w:eastAsia="宋体"/>
        </w:rPr>
        <w:t xml:space="preserve">（招标人名称）： </w:t>
      </w:r>
    </w:p>
    <w:p w14:paraId="1FA051B0">
      <w:pPr>
        <w:pStyle w:val="41"/>
        <w:spacing w:before="240" w:after="240"/>
        <w:ind w:firstLine="420"/>
        <w:rPr>
          <w:rFonts w:eastAsia="宋体"/>
        </w:rPr>
      </w:pPr>
      <w:r>
        <w:rPr>
          <w:rFonts w:eastAsia="宋体"/>
        </w:rPr>
        <w:t>1．我方已仔细研究了</w:t>
      </w:r>
      <w:r>
        <w:rPr>
          <w:rFonts w:eastAsia="宋体"/>
          <w:u w:val="single"/>
        </w:rPr>
        <w:t>   </w:t>
      </w:r>
      <w:r>
        <w:rPr>
          <w:rFonts w:eastAsia="宋体"/>
        </w:rPr>
        <w:t>（项目名称）</w:t>
      </w:r>
      <w:r>
        <w:rPr>
          <w:rFonts w:eastAsia="宋体"/>
          <w:u w:val="single"/>
        </w:rPr>
        <w:t>   </w:t>
      </w:r>
      <w:r>
        <w:rPr>
          <w:rFonts w:eastAsia="宋体"/>
        </w:rPr>
        <w:t>（标段名称）</w:t>
      </w:r>
      <w:r>
        <w:rPr>
          <w:rFonts w:eastAsia="宋体"/>
          <w:u w:val="single"/>
        </w:rPr>
        <w:t>   </w:t>
      </w:r>
      <w:r>
        <w:rPr>
          <w:rFonts w:eastAsia="宋体"/>
        </w:rPr>
        <w:t>（服务名称）招标文件的全部内容，愿意以人民币（大写）</w:t>
      </w:r>
      <w:r>
        <w:rPr>
          <w:rFonts w:eastAsia="宋体"/>
          <w:u w:val="single"/>
        </w:rPr>
        <w:t>   </w:t>
      </w:r>
      <w:r>
        <w:rPr>
          <w:rFonts w:eastAsia="宋体"/>
        </w:rPr>
        <w:t>（¥</w:t>
      </w:r>
      <w:r>
        <w:rPr>
          <w:rFonts w:eastAsia="宋体"/>
          <w:sz w:val="21"/>
          <w:szCs w:val="21"/>
        </w:rPr>
        <w:t xml:space="preserve"> </w:t>
      </w:r>
      <w:r>
        <w:rPr>
          <w:rFonts w:eastAsia="宋体"/>
          <w:sz w:val="21"/>
          <w:szCs w:val="21"/>
          <w:u w:val="single"/>
        </w:rPr>
        <w:t>   </w:t>
      </w:r>
      <w:r>
        <w:rPr>
          <w:rFonts w:eastAsia="宋体"/>
          <w:sz w:val="21"/>
          <w:szCs w:val="21"/>
        </w:rPr>
        <w:t xml:space="preserve">元 </w:t>
      </w:r>
      <w:r>
        <w:rPr>
          <w:rFonts w:eastAsia="宋体"/>
        </w:rPr>
        <w:t>）的投标总报价，（其中，增值税税率为</w:t>
      </w:r>
      <w:r>
        <w:rPr>
          <w:rFonts w:eastAsia="宋体"/>
          <w:u w:val="single"/>
        </w:rPr>
        <w:t>   </w:t>
      </w:r>
      <w:r>
        <w:rPr>
          <w:rFonts w:eastAsia="宋体"/>
        </w:rPr>
        <w:t>）服务期限</w:t>
      </w:r>
      <w:r>
        <w:rPr>
          <w:rFonts w:eastAsia="宋体"/>
          <w:sz w:val="21"/>
          <w:szCs w:val="21"/>
        </w:rPr>
        <w:t>：</w:t>
      </w:r>
      <w:r>
        <w:rPr>
          <w:rFonts w:eastAsia="宋体"/>
          <w:sz w:val="21"/>
          <w:szCs w:val="21"/>
          <w:u w:val="single"/>
        </w:rPr>
        <w:t>   </w:t>
      </w:r>
      <w:r>
        <w:rPr>
          <w:rFonts w:eastAsia="宋体"/>
        </w:rPr>
        <w:t>日历天</w:t>
      </w:r>
      <w:r>
        <w:rPr>
          <w:rFonts w:eastAsia="宋体"/>
          <w:sz w:val="21"/>
          <w:szCs w:val="21"/>
        </w:rPr>
        <w:t xml:space="preserve"> </w:t>
      </w:r>
      <w:r>
        <w:rPr>
          <w:rFonts w:eastAsia="宋体"/>
        </w:rPr>
        <w:t>，按合同约定完成相关服务工作。</w:t>
      </w:r>
    </w:p>
    <w:p w14:paraId="57FE13CF">
      <w:pPr>
        <w:pStyle w:val="41"/>
        <w:spacing w:before="240" w:after="240"/>
        <w:ind w:firstLine="420"/>
        <w:rPr>
          <w:rFonts w:eastAsia="宋体"/>
        </w:rPr>
      </w:pPr>
      <w:r>
        <w:rPr>
          <w:rFonts w:eastAsia="宋体"/>
        </w:rPr>
        <w:t>2、我方拟派的项目负责人：</w:t>
      </w:r>
      <w:r>
        <w:rPr>
          <w:rFonts w:eastAsia="宋体"/>
          <w:u w:val="single"/>
        </w:rPr>
        <w:t>   </w:t>
      </w:r>
      <w:r>
        <w:rPr>
          <w:rFonts w:eastAsia="宋体"/>
        </w:rPr>
        <w:t>（姓名），证书名称：</w:t>
      </w:r>
      <w:r>
        <w:rPr>
          <w:rFonts w:eastAsia="宋体"/>
          <w:u w:val="single"/>
        </w:rPr>
        <w:t>   </w:t>
      </w:r>
      <w:r>
        <w:rPr>
          <w:rFonts w:eastAsia="宋体"/>
        </w:rPr>
        <w:t>，证书编号：</w:t>
      </w:r>
      <w:r>
        <w:rPr>
          <w:rFonts w:eastAsia="宋体"/>
          <w:u w:val="single"/>
        </w:rPr>
        <w:t>   </w:t>
      </w:r>
      <w:r>
        <w:rPr>
          <w:rFonts w:eastAsia="宋体"/>
        </w:rPr>
        <w:t>。</w:t>
      </w:r>
    </w:p>
    <w:p w14:paraId="266EF5A6">
      <w:pPr>
        <w:pStyle w:val="41"/>
        <w:spacing w:before="240" w:after="240"/>
        <w:ind w:firstLine="420"/>
        <w:rPr>
          <w:rFonts w:eastAsia="宋体"/>
        </w:rPr>
      </w:pPr>
      <w:r>
        <w:rPr>
          <w:rFonts w:eastAsia="宋体"/>
        </w:rPr>
        <w:t>3．我方承诺在招标文件规定的投标有效期内不撤销投标文件。</w:t>
      </w:r>
    </w:p>
    <w:p w14:paraId="43AF1E07">
      <w:pPr>
        <w:pStyle w:val="41"/>
        <w:spacing w:before="240" w:after="240"/>
        <w:ind w:firstLine="420"/>
        <w:rPr>
          <w:rFonts w:eastAsia="宋体"/>
        </w:rPr>
      </w:pPr>
      <w:r>
        <w:rPr>
          <w:rFonts w:eastAsia="宋体"/>
        </w:rPr>
        <w:t> 4．如我方中标，我方承诺：</w:t>
      </w:r>
    </w:p>
    <w:p w14:paraId="650A73CB">
      <w:pPr>
        <w:pStyle w:val="41"/>
        <w:spacing w:before="240" w:after="240"/>
        <w:ind w:firstLine="420"/>
        <w:rPr>
          <w:rFonts w:eastAsia="宋体"/>
        </w:rPr>
      </w:pPr>
      <w:r>
        <w:rPr>
          <w:rFonts w:eastAsia="宋体"/>
        </w:rPr>
        <w:t>（1）在收到中标通知书后，在中标通知书规定的期限内与你方签订合同；</w:t>
      </w:r>
    </w:p>
    <w:p w14:paraId="49FBEC6C">
      <w:pPr>
        <w:pStyle w:val="41"/>
        <w:spacing w:before="240" w:after="240"/>
        <w:ind w:firstLine="420"/>
        <w:rPr>
          <w:rFonts w:eastAsia="宋体"/>
        </w:rPr>
      </w:pPr>
      <w:r>
        <w:rPr>
          <w:rFonts w:eastAsia="宋体"/>
        </w:rPr>
        <w:t>（2）在签订合同时不向你方提出附加条件；</w:t>
      </w:r>
    </w:p>
    <w:p w14:paraId="3643F37D">
      <w:pPr>
        <w:pStyle w:val="41"/>
        <w:spacing w:before="240" w:after="240"/>
        <w:ind w:firstLine="420"/>
        <w:rPr>
          <w:rFonts w:eastAsia="宋体"/>
        </w:rPr>
      </w:pPr>
      <w:r>
        <w:rPr>
          <w:rFonts w:eastAsia="宋体"/>
        </w:rPr>
        <w:t>（3）按照招标文件要求提交履约保证金；</w:t>
      </w:r>
    </w:p>
    <w:p w14:paraId="1739030F">
      <w:pPr>
        <w:pStyle w:val="41"/>
        <w:spacing w:before="240" w:after="240"/>
        <w:ind w:firstLine="420"/>
        <w:rPr>
          <w:rFonts w:eastAsia="宋体"/>
        </w:rPr>
      </w:pPr>
      <w:r>
        <w:rPr>
          <w:rFonts w:eastAsia="宋体"/>
        </w:rPr>
        <w:t>（4）在合同约定的期限内完成合同规定的全部义务。</w:t>
      </w:r>
    </w:p>
    <w:p w14:paraId="2A03AD03">
      <w:pPr>
        <w:pStyle w:val="41"/>
        <w:spacing w:before="240" w:after="240"/>
        <w:ind w:firstLine="420"/>
        <w:rPr>
          <w:rFonts w:eastAsia="宋体"/>
        </w:rPr>
      </w:pPr>
      <w:r>
        <w:rPr>
          <w:rFonts w:eastAsia="宋体"/>
        </w:rPr>
        <w:t>5．我方在此声明，所递交的投标文件及有关资料内容完整、真实和准确，且不存在第二章“投标人须知”第1.4.3项的任何一种情形。</w:t>
      </w:r>
    </w:p>
    <w:p w14:paraId="32541B5D">
      <w:pPr>
        <w:pStyle w:val="41"/>
        <w:spacing w:before="240" w:after="240"/>
        <w:ind w:firstLine="420"/>
        <w:rPr>
          <w:rFonts w:eastAsia="宋体"/>
        </w:rPr>
      </w:pPr>
      <w:r>
        <w:rPr>
          <w:rFonts w:eastAsia="宋体"/>
        </w:rPr>
        <w:t>6其他补充说明：   </w:t>
      </w:r>
    </w:p>
    <w:p w14:paraId="4C189394">
      <w:pPr>
        <w:pStyle w:val="41"/>
        <w:spacing w:before="240" w:after="240"/>
        <w:ind w:firstLine="480"/>
        <w:rPr>
          <w:rFonts w:eastAsia="宋体"/>
        </w:rPr>
      </w:pPr>
      <w:r>
        <w:rPr>
          <w:rFonts w:eastAsia="宋体"/>
        </w:rPr>
        <w:t xml:space="preserve">  </w:t>
      </w:r>
    </w:p>
    <w:p w14:paraId="0CFB6BC7">
      <w:pPr>
        <w:pStyle w:val="41"/>
        <w:spacing w:before="240" w:after="240"/>
        <w:ind w:firstLine="3000"/>
        <w:rPr>
          <w:rFonts w:eastAsia="宋体"/>
        </w:rPr>
      </w:pPr>
      <w:r>
        <w:rPr>
          <w:rFonts w:eastAsia="宋体"/>
        </w:rPr>
        <w:t>投标人：</w:t>
      </w:r>
      <w:r>
        <w:rPr>
          <w:rFonts w:eastAsia="宋体"/>
          <w:u w:val="single"/>
        </w:rPr>
        <w:t>   </w:t>
      </w:r>
      <w:r>
        <w:rPr>
          <w:rFonts w:eastAsia="宋体"/>
        </w:rPr>
        <w:t xml:space="preserve">（盖单位章） </w:t>
      </w:r>
    </w:p>
    <w:p w14:paraId="28FC4747">
      <w:pPr>
        <w:pStyle w:val="41"/>
        <w:spacing w:before="240" w:after="240"/>
        <w:ind w:firstLine="3000"/>
        <w:rPr>
          <w:rFonts w:eastAsia="宋体"/>
        </w:rPr>
      </w:pPr>
      <w:r>
        <w:rPr>
          <w:rFonts w:eastAsia="宋体"/>
        </w:rPr>
        <w:t>法定代表人：</w:t>
      </w:r>
      <w:r>
        <w:rPr>
          <w:rFonts w:eastAsia="宋体"/>
          <w:u w:val="single"/>
        </w:rPr>
        <w:t>   </w:t>
      </w:r>
      <w:r>
        <w:rPr>
          <w:rFonts w:eastAsia="宋体"/>
        </w:rPr>
        <w:t xml:space="preserve">（签字） </w:t>
      </w:r>
    </w:p>
    <w:p w14:paraId="45D4F871">
      <w:pPr>
        <w:pStyle w:val="41"/>
        <w:spacing w:before="240" w:after="240"/>
        <w:ind w:firstLine="3000"/>
        <w:rPr>
          <w:rFonts w:eastAsia="宋体"/>
        </w:rPr>
      </w:pPr>
      <w:r>
        <w:rPr>
          <w:rFonts w:eastAsia="宋体"/>
        </w:rPr>
        <w:t>地址：</w:t>
      </w:r>
      <w:r>
        <w:rPr>
          <w:rFonts w:eastAsia="宋体"/>
          <w:u w:val="single"/>
        </w:rPr>
        <w:t>   </w:t>
      </w:r>
      <w:r>
        <w:rPr>
          <w:rFonts w:eastAsia="宋体"/>
        </w:rPr>
        <w:t xml:space="preserve"> </w:t>
      </w:r>
    </w:p>
    <w:p w14:paraId="66A78644">
      <w:pPr>
        <w:pStyle w:val="41"/>
        <w:spacing w:before="240" w:after="240"/>
        <w:ind w:firstLine="3000"/>
        <w:rPr>
          <w:rFonts w:eastAsia="宋体"/>
        </w:rPr>
      </w:pPr>
      <w:r>
        <w:rPr>
          <w:rFonts w:eastAsia="宋体"/>
        </w:rPr>
        <w:t>电话：</w:t>
      </w:r>
      <w:r>
        <w:rPr>
          <w:rFonts w:eastAsia="宋体"/>
          <w:u w:val="single"/>
        </w:rPr>
        <w:t>   </w:t>
      </w:r>
      <w:r>
        <w:rPr>
          <w:rFonts w:eastAsia="宋体"/>
        </w:rPr>
        <w:t xml:space="preserve"> </w:t>
      </w:r>
    </w:p>
    <w:p w14:paraId="5A05B3ED">
      <w:pPr>
        <w:pStyle w:val="41"/>
        <w:spacing w:before="240" w:after="240"/>
        <w:ind w:firstLine="3000"/>
        <w:rPr>
          <w:rFonts w:eastAsia="宋体"/>
        </w:rPr>
      </w:pPr>
      <w:r>
        <w:rPr>
          <w:rFonts w:eastAsia="宋体"/>
        </w:rPr>
        <w:t>传真：</w:t>
      </w:r>
      <w:r>
        <w:rPr>
          <w:rFonts w:eastAsia="宋体"/>
          <w:u w:val="single"/>
        </w:rPr>
        <w:t>   </w:t>
      </w:r>
      <w:r>
        <w:rPr>
          <w:rFonts w:eastAsia="宋体"/>
        </w:rPr>
        <w:t xml:space="preserve"> </w:t>
      </w:r>
    </w:p>
    <w:p w14:paraId="618A7DF6">
      <w:pPr>
        <w:pStyle w:val="41"/>
        <w:spacing w:before="240" w:after="240"/>
        <w:ind w:firstLine="3000"/>
        <w:rPr>
          <w:rFonts w:eastAsia="宋体"/>
        </w:rPr>
      </w:pPr>
      <w:r>
        <w:rPr>
          <w:rFonts w:eastAsia="宋体"/>
        </w:rPr>
        <w:t>邮政编码：</w:t>
      </w:r>
      <w:r>
        <w:rPr>
          <w:rFonts w:eastAsia="宋体"/>
          <w:u w:val="single"/>
        </w:rPr>
        <w:t>   </w:t>
      </w:r>
      <w:r>
        <w:rPr>
          <w:rFonts w:eastAsia="宋体"/>
        </w:rPr>
        <w:t xml:space="preserve"> </w:t>
      </w:r>
    </w:p>
    <w:p w14:paraId="047C73AE">
      <w:pPr>
        <w:pStyle w:val="41"/>
        <w:spacing w:before="240" w:after="240"/>
        <w:ind w:firstLine="3000"/>
        <w:rPr>
          <w:rFonts w:eastAsia="宋体"/>
        </w:rPr>
      </w:pPr>
      <w:r>
        <w:rPr>
          <w:rFonts w:eastAsia="宋体"/>
        </w:rPr>
        <w:t>日期：</w:t>
      </w:r>
      <w:r>
        <w:rPr>
          <w:rFonts w:eastAsia="宋体"/>
          <w:u w:val="single"/>
        </w:rPr>
        <w:t>   </w:t>
      </w:r>
      <w:r>
        <w:rPr>
          <w:rFonts w:eastAsia="宋体"/>
        </w:rPr>
        <w:t xml:space="preserve"> </w:t>
      </w:r>
    </w:p>
    <w:p w14:paraId="65A3BCEC">
      <w:pPr>
        <w:pStyle w:val="41"/>
        <w:spacing w:before="240" w:after="240"/>
        <w:ind w:firstLine="480"/>
        <w:rPr>
          <w:rFonts w:eastAsia="宋体"/>
        </w:rPr>
      </w:pPr>
      <w:r>
        <w:rPr>
          <w:rFonts w:eastAsia="宋体"/>
        </w:rPr>
        <w:t xml:space="preserve">   </w:t>
      </w:r>
    </w:p>
    <w:p w14:paraId="0B20CC2B">
      <w:pPr>
        <w:pStyle w:val="41"/>
        <w:spacing w:before="240" w:after="240"/>
        <w:ind w:firstLine="360"/>
        <w:rPr>
          <w:rFonts w:eastAsia="宋体"/>
        </w:rPr>
      </w:pPr>
      <w:r>
        <w:rPr>
          <w:rFonts w:hint="eastAsia" w:eastAsia="宋体"/>
        </w:rPr>
        <w:t>备注：项目负责人如是注册类执业资格，证书名称填写××注册××师，其证书编号应填写注册执业证书编号。如是职称证书，证书名称填写专业类别、级别、工程师,其证书编号应填写职称证书编号。</w:t>
      </w:r>
      <w:r>
        <w:rPr>
          <w:rFonts w:eastAsia="宋体"/>
        </w:rPr>
        <w:t xml:space="preserve"> </w:t>
      </w:r>
    </w:p>
    <w:p w14:paraId="24D17429">
      <w:pPr>
        <w:pStyle w:val="41"/>
        <w:jc w:val="center"/>
        <w:rPr>
          <w:rFonts w:eastAsia="宋体"/>
          <w:b/>
          <w:bCs/>
          <w:sz w:val="32"/>
          <w:szCs w:val="32"/>
        </w:rPr>
      </w:pPr>
    </w:p>
    <w:p w14:paraId="14F83B21">
      <w:pPr>
        <w:widowControl w:val="0"/>
        <w:spacing w:before="240" w:beforeLines="100" w:after="240" w:afterLines="100" w:line="480" w:lineRule="exact"/>
        <w:jc w:val="center"/>
        <w:rPr>
          <w:rFonts w:ascii="Times New Roman" w:hAnsi="Times New Roman" w:eastAsia="黑体" w:cs="Times New Roman"/>
          <w:kern w:val="2"/>
          <w:sz w:val="28"/>
          <w:szCs w:val="28"/>
          <w:lang w:val="en-US" w:eastAsia="zh-CN" w:bidi="ar-SA"/>
        </w:rPr>
      </w:pPr>
      <w:r>
        <w:rPr>
          <w:rFonts w:ascii="Times New Roman" w:hAnsi="Times New Roman" w:eastAsia="黑体" w:cs="Times New Roman"/>
          <w:kern w:val="2"/>
          <w:sz w:val="28"/>
          <w:szCs w:val="28"/>
          <w:lang w:val="en-US" w:eastAsia="zh-CN" w:bidi="ar-SA"/>
        </w:rPr>
        <w:t>(二)投标函附录</w:t>
      </w:r>
    </w:p>
    <w:p w14:paraId="4D97ED99">
      <w:pPr>
        <w:widowControl/>
        <w:spacing w:line="360" w:lineRule="auto"/>
        <w:ind w:firstLine="420" w:firstLineChars="200"/>
        <w:jc w:val="lef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（项目名称）</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（标段名称）</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（服务名称）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317"/>
        <w:gridCol w:w="1275"/>
        <w:gridCol w:w="4111"/>
        <w:gridCol w:w="746"/>
      </w:tblGrid>
      <w:tr w14:paraId="06E8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blHeader/>
          <w:jc w:val="center"/>
        </w:trPr>
        <w:tc>
          <w:tcPr>
            <w:tcW w:w="771" w:type="dxa"/>
            <w:noWrap w:val="0"/>
            <w:vAlign w:val="center"/>
          </w:tcPr>
          <w:p w14:paraId="0DA12F1E">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序号</w:t>
            </w:r>
          </w:p>
        </w:tc>
        <w:tc>
          <w:tcPr>
            <w:tcW w:w="1317" w:type="dxa"/>
            <w:noWrap w:val="0"/>
            <w:vAlign w:val="center"/>
          </w:tcPr>
          <w:p w14:paraId="5B83D274">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条款名称</w:t>
            </w:r>
          </w:p>
        </w:tc>
        <w:tc>
          <w:tcPr>
            <w:tcW w:w="1275" w:type="dxa"/>
            <w:noWrap w:val="0"/>
            <w:vAlign w:val="center"/>
          </w:tcPr>
          <w:p w14:paraId="3CEF62D9">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合同条款号</w:t>
            </w:r>
          </w:p>
        </w:tc>
        <w:tc>
          <w:tcPr>
            <w:tcW w:w="4111" w:type="dxa"/>
            <w:noWrap w:val="0"/>
            <w:vAlign w:val="center"/>
          </w:tcPr>
          <w:p w14:paraId="066084DE">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约定内容</w:t>
            </w:r>
          </w:p>
        </w:tc>
        <w:tc>
          <w:tcPr>
            <w:tcW w:w="746" w:type="dxa"/>
            <w:noWrap w:val="0"/>
            <w:vAlign w:val="center"/>
          </w:tcPr>
          <w:p w14:paraId="375D5120">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备注</w:t>
            </w:r>
          </w:p>
        </w:tc>
      </w:tr>
      <w:tr w14:paraId="7765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71" w:type="dxa"/>
            <w:noWrap w:val="0"/>
            <w:vAlign w:val="center"/>
          </w:tcPr>
          <w:p w14:paraId="0F71EACC">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1</w:t>
            </w:r>
          </w:p>
        </w:tc>
        <w:tc>
          <w:tcPr>
            <w:tcW w:w="1317" w:type="dxa"/>
            <w:noWrap w:val="0"/>
            <w:vAlign w:val="center"/>
          </w:tcPr>
          <w:p w14:paraId="67D12945">
            <w:pPr>
              <w:spacing w:line="440" w:lineRule="exact"/>
              <w:jc w:val="center"/>
              <w:rPr>
                <w:rFonts w:ascii="Times New Roman" w:hAnsi="Times New Roman"/>
                <w:szCs w:val="21"/>
                <w:lang w:val="en-US" w:eastAsia="zh-CN"/>
              </w:rPr>
            </w:pPr>
            <w:r>
              <w:rPr>
                <w:rFonts w:ascii="Times New Roman" w:cs="Times New Roman"/>
                <w:szCs w:val="21"/>
              </w:rPr>
              <w:t>项目负责人</w:t>
            </w:r>
          </w:p>
        </w:tc>
        <w:tc>
          <w:tcPr>
            <w:tcW w:w="1275" w:type="dxa"/>
            <w:noWrap w:val="0"/>
            <w:vAlign w:val="center"/>
          </w:tcPr>
          <w:p w14:paraId="430BC942">
            <w:pPr>
              <w:spacing w:line="440" w:lineRule="exact"/>
              <w:jc w:val="center"/>
              <w:rPr>
                <w:rFonts w:ascii="Times New Roman" w:hAnsi="Times New Roman"/>
                <w:szCs w:val="21"/>
                <w:lang w:val="en-US" w:eastAsia="zh-CN"/>
              </w:rPr>
            </w:pPr>
            <w:r>
              <w:rPr>
                <w:rFonts w:ascii="Times New Roman" w:cs="Times New Roman"/>
                <w:szCs w:val="21"/>
              </w:rPr>
              <w:t xml:space="preserve"> </w:t>
            </w:r>
          </w:p>
        </w:tc>
        <w:tc>
          <w:tcPr>
            <w:tcW w:w="4111" w:type="dxa"/>
            <w:noWrap w:val="0"/>
            <w:vAlign w:val="center"/>
          </w:tcPr>
          <w:p w14:paraId="6935DA2A">
            <w:pPr>
              <w:spacing w:line="440" w:lineRule="exact"/>
              <w:jc w:val="center"/>
              <w:rPr>
                <w:rFonts w:ascii="Times New Roman" w:hAnsi="Times New Roman"/>
                <w:szCs w:val="21"/>
                <w:lang w:val="en-US" w:eastAsia="zh-CN"/>
              </w:rPr>
            </w:pPr>
            <w:r>
              <w:rPr>
                <w:rFonts w:ascii="Times New Roman" w:cs="Times New Roman"/>
                <w:szCs w:val="21"/>
              </w:rPr>
              <w:t>见投标函</w:t>
            </w:r>
          </w:p>
        </w:tc>
        <w:tc>
          <w:tcPr>
            <w:tcW w:w="746" w:type="dxa"/>
            <w:noWrap w:val="0"/>
            <w:vAlign w:val="center"/>
          </w:tcPr>
          <w:p w14:paraId="1DCCDD05">
            <w:pPr>
              <w:widowControl w:val="0"/>
              <w:spacing w:line="440" w:lineRule="exact"/>
              <w:jc w:val="center"/>
              <w:rPr>
                <w:rFonts w:ascii="Times New Roman" w:hAnsi="Times New Roman" w:eastAsia="宋体" w:cs="Times New Roman"/>
                <w:kern w:val="2"/>
                <w:sz w:val="21"/>
                <w:szCs w:val="21"/>
                <w:lang w:val="en-US" w:eastAsia="zh-CN" w:bidi="ar-SA"/>
              </w:rPr>
            </w:pPr>
          </w:p>
        </w:tc>
      </w:tr>
      <w:tr w14:paraId="1EFB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47378A87">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2</w:t>
            </w:r>
          </w:p>
        </w:tc>
        <w:tc>
          <w:tcPr>
            <w:tcW w:w="1317" w:type="dxa"/>
            <w:noWrap w:val="0"/>
            <w:vAlign w:val="center"/>
          </w:tcPr>
          <w:p w14:paraId="514897B3">
            <w:pPr>
              <w:spacing w:line="440" w:lineRule="exact"/>
              <w:jc w:val="center"/>
              <w:rPr>
                <w:rFonts w:ascii="Times New Roman" w:hAnsi="Times New Roman"/>
                <w:szCs w:val="21"/>
                <w:lang w:val="en-US" w:eastAsia="zh-CN"/>
              </w:rPr>
            </w:pPr>
            <w:r>
              <w:rPr>
                <w:rFonts w:ascii="Times New Roman" w:cs="Times New Roman"/>
                <w:szCs w:val="21"/>
              </w:rPr>
              <w:t>服务期限</w:t>
            </w:r>
          </w:p>
        </w:tc>
        <w:tc>
          <w:tcPr>
            <w:tcW w:w="1275" w:type="dxa"/>
            <w:noWrap w:val="0"/>
            <w:vAlign w:val="center"/>
          </w:tcPr>
          <w:p w14:paraId="4718F5A4">
            <w:pPr>
              <w:spacing w:line="440" w:lineRule="exact"/>
              <w:jc w:val="center"/>
              <w:rPr>
                <w:rFonts w:ascii="Times New Roman" w:hAnsi="Times New Roman"/>
                <w:szCs w:val="21"/>
                <w:lang w:val="en-US" w:eastAsia="zh-CN"/>
              </w:rPr>
            </w:pPr>
            <w:r>
              <w:rPr>
                <w:rFonts w:ascii="Times New Roman" w:cs="Times New Roman"/>
                <w:szCs w:val="21"/>
              </w:rPr>
              <w:t xml:space="preserve"> </w:t>
            </w:r>
          </w:p>
        </w:tc>
        <w:tc>
          <w:tcPr>
            <w:tcW w:w="4111" w:type="dxa"/>
            <w:noWrap w:val="0"/>
            <w:vAlign w:val="center"/>
          </w:tcPr>
          <w:p w14:paraId="751050AE">
            <w:pPr>
              <w:spacing w:line="440" w:lineRule="exact"/>
              <w:jc w:val="center"/>
              <w:rPr>
                <w:rFonts w:ascii="Times New Roman" w:hAnsi="Times New Roman"/>
                <w:szCs w:val="21"/>
                <w:lang w:val="en-US" w:eastAsia="zh-CN"/>
              </w:rPr>
            </w:pPr>
            <w:r>
              <w:rPr>
                <w:rFonts w:ascii="Times New Roman" w:cs="Times New Roman"/>
                <w:szCs w:val="21"/>
              </w:rPr>
              <w:t>见投标函</w:t>
            </w:r>
          </w:p>
        </w:tc>
        <w:tc>
          <w:tcPr>
            <w:tcW w:w="746" w:type="dxa"/>
            <w:noWrap w:val="0"/>
            <w:vAlign w:val="center"/>
          </w:tcPr>
          <w:p w14:paraId="2D278B17">
            <w:pPr>
              <w:widowControl w:val="0"/>
              <w:spacing w:line="440" w:lineRule="exact"/>
              <w:jc w:val="center"/>
              <w:rPr>
                <w:rFonts w:ascii="Times New Roman" w:hAnsi="Times New Roman" w:eastAsia="宋体" w:cs="Times New Roman"/>
                <w:kern w:val="2"/>
                <w:sz w:val="21"/>
                <w:szCs w:val="21"/>
                <w:lang w:val="en-US" w:eastAsia="zh-CN" w:bidi="ar-SA"/>
              </w:rPr>
            </w:pPr>
          </w:p>
        </w:tc>
      </w:tr>
      <w:tr w14:paraId="7C1C2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0BEC2A99">
            <w:pPr>
              <w:widowControl w:val="0"/>
              <w:spacing w:line="440" w:lineRule="exact"/>
              <w:jc w:val="center"/>
              <w:rPr>
                <w:rFonts w:ascii="Times New Roman" w:hAnsi="Times New Roman" w:eastAsia="宋体" w:cs="Times New Roman"/>
                <w:kern w:val="2"/>
                <w:sz w:val="21"/>
                <w:szCs w:val="21"/>
                <w:lang w:val="en-US" w:eastAsia="zh-CN" w:bidi="ar-SA"/>
              </w:rPr>
            </w:pPr>
          </w:p>
        </w:tc>
        <w:tc>
          <w:tcPr>
            <w:tcW w:w="1317" w:type="dxa"/>
            <w:noWrap w:val="0"/>
            <w:vAlign w:val="center"/>
          </w:tcPr>
          <w:p w14:paraId="7FD161C1">
            <w:pPr>
              <w:widowControl w:val="0"/>
              <w:spacing w:line="440" w:lineRule="exact"/>
              <w:jc w:val="center"/>
              <w:rPr>
                <w:rFonts w:ascii="Times New Roman" w:hAnsi="Times New Roman" w:eastAsia="宋体" w:cs="Times New Roman"/>
                <w:kern w:val="2"/>
                <w:sz w:val="21"/>
                <w:szCs w:val="21"/>
                <w:lang w:val="en-US" w:eastAsia="zh-CN" w:bidi="ar-SA"/>
              </w:rPr>
            </w:pPr>
          </w:p>
        </w:tc>
        <w:tc>
          <w:tcPr>
            <w:tcW w:w="1275" w:type="dxa"/>
            <w:noWrap w:val="0"/>
            <w:vAlign w:val="center"/>
          </w:tcPr>
          <w:p w14:paraId="07006DA3">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 </w:t>
            </w:r>
          </w:p>
        </w:tc>
        <w:tc>
          <w:tcPr>
            <w:tcW w:w="4111" w:type="dxa"/>
            <w:noWrap w:val="0"/>
            <w:vAlign w:val="center"/>
          </w:tcPr>
          <w:p w14:paraId="13319334">
            <w:pPr>
              <w:widowControl w:val="0"/>
              <w:spacing w:line="440" w:lineRule="exact"/>
              <w:jc w:val="center"/>
              <w:rPr>
                <w:rFonts w:ascii="Times New Roman" w:hAnsi="Times New Roman" w:eastAsia="宋体" w:cs="Times New Roman"/>
                <w:kern w:val="2"/>
                <w:sz w:val="21"/>
                <w:szCs w:val="21"/>
                <w:lang w:val="en-US" w:eastAsia="zh-CN" w:bidi="ar-SA"/>
              </w:rPr>
            </w:pPr>
          </w:p>
        </w:tc>
        <w:tc>
          <w:tcPr>
            <w:tcW w:w="746" w:type="dxa"/>
            <w:noWrap w:val="0"/>
            <w:vAlign w:val="center"/>
          </w:tcPr>
          <w:p w14:paraId="38EE0FC2">
            <w:pPr>
              <w:widowControl w:val="0"/>
              <w:spacing w:line="440" w:lineRule="exact"/>
              <w:jc w:val="center"/>
              <w:rPr>
                <w:rFonts w:ascii="Times New Roman" w:hAnsi="Times New Roman" w:eastAsia="宋体" w:cs="Times New Roman"/>
                <w:kern w:val="2"/>
                <w:sz w:val="21"/>
                <w:szCs w:val="21"/>
                <w:lang w:val="en-US" w:eastAsia="zh-CN" w:bidi="ar-SA"/>
              </w:rPr>
            </w:pPr>
          </w:p>
        </w:tc>
      </w:tr>
      <w:tr w14:paraId="7665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31A8EE18">
            <w:pPr>
              <w:widowControl w:val="0"/>
              <w:spacing w:line="440" w:lineRule="exact"/>
              <w:jc w:val="center"/>
              <w:rPr>
                <w:rFonts w:ascii="Times New Roman" w:hAnsi="Times New Roman" w:eastAsia="宋体" w:cs="Times New Roman"/>
                <w:kern w:val="2"/>
                <w:sz w:val="21"/>
                <w:szCs w:val="21"/>
                <w:lang w:val="en-US" w:eastAsia="zh-CN" w:bidi="ar-SA"/>
              </w:rPr>
            </w:pPr>
          </w:p>
        </w:tc>
        <w:tc>
          <w:tcPr>
            <w:tcW w:w="1317" w:type="dxa"/>
            <w:noWrap w:val="0"/>
            <w:vAlign w:val="center"/>
          </w:tcPr>
          <w:p w14:paraId="1A2EAC11">
            <w:pPr>
              <w:widowControl w:val="0"/>
              <w:spacing w:line="440" w:lineRule="exact"/>
              <w:jc w:val="center"/>
              <w:rPr>
                <w:rFonts w:ascii="Times New Roman" w:hAnsi="Times New Roman" w:eastAsia="宋体" w:cs="Times New Roman"/>
                <w:kern w:val="2"/>
                <w:sz w:val="21"/>
                <w:szCs w:val="21"/>
                <w:lang w:val="en-US" w:eastAsia="zh-CN" w:bidi="ar-SA"/>
              </w:rPr>
            </w:pPr>
          </w:p>
        </w:tc>
        <w:tc>
          <w:tcPr>
            <w:tcW w:w="1275" w:type="dxa"/>
            <w:noWrap w:val="0"/>
            <w:vAlign w:val="center"/>
          </w:tcPr>
          <w:p w14:paraId="55E3C7E0">
            <w:pPr>
              <w:widowControl w:val="0"/>
              <w:spacing w:line="440" w:lineRule="exact"/>
              <w:jc w:val="center"/>
              <w:rPr>
                <w:rFonts w:ascii="Times New Roman" w:hAnsi="Times New Roman" w:eastAsia="宋体" w:cs="Times New Roman"/>
                <w:kern w:val="2"/>
                <w:sz w:val="21"/>
                <w:szCs w:val="21"/>
                <w:lang w:val="en-US" w:eastAsia="zh-CN" w:bidi="ar-SA"/>
              </w:rPr>
            </w:pPr>
          </w:p>
        </w:tc>
        <w:tc>
          <w:tcPr>
            <w:tcW w:w="4111" w:type="dxa"/>
            <w:noWrap w:val="0"/>
            <w:vAlign w:val="center"/>
          </w:tcPr>
          <w:p w14:paraId="12D36D58">
            <w:pPr>
              <w:widowControl w:val="0"/>
              <w:spacing w:line="440" w:lineRule="exact"/>
              <w:jc w:val="center"/>
              <w:rPr>
                <w:rFonts w:ascii="Times New Roman" w:hAnsi="Times New Roman" w:eastAsia="宋体" w:cs="Times New Roman"/>
                <w:kern w:val="2"/>
                <w:sz w:val="21"/>
                <w:szCs w:val="21"/>
                <w:lang w:val="en-US" w:eastAsia="zh-CN" w:bidi="ar-SA"/>
              </w:rPr>
            </w:pPr>
          </w:p>
        </w:tc>
        <w:tc>
          <w:tcPr>
            <w:tcW w:w="746" w:type="dxa"/>
            <w:noWrap w:val="0"/>
            <w:vAlign w:val="center"/>
          </w:tcPr>
          <w:p w14:paraId="7667BF63">
            <w:pPr>
              <w:widowControl w:val="0"/>
              <w:spacing w:line="440" w:lineRule="exact"/>
              <w:jc w:val="center"/>
              <w:rPr>
                <w:rFonts w:ascii="Times New Roman" w:hAnsi="Times New Roman" w:eastAsia="宋体" w:cs="Times New Roman"/>
                <w:kern w:val="2"/>
                <w:sz w:val="21"/>
                <w:szCs w:val="21"/>
                <w:lang w:val="en-US" w:eastAsia="zh-CN" w:bidi="ar-SA"/>
              </w:rPr>
            </w:pPr>
          </w:p>
        </w:tc>
      </w:tr>
      <w:tr w14:paraId="03089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16CAD747">
            <w:pPr>
              <w:widowControl w:val="0"/>
              <w:spacing w:line="440" w:lineRule="exact"/>
              <w:jc w:val="center"/>
              <w:rPr>
                <w:rFonts w:ascii="Times New Roman" w:hAnsi="Times New Roman" w:eastAsia="宋体" w:cs="Times New Roman"/>
                <w:kern w:val="2"/>
                <w:sz w:val="21"/>
                <w:szCs w:val="21"/>
                <w:lang w:val="en-US" w:eastAsia="zh-CN" w:bidi="ar-SA"/>
              </w:rPr>
            </w:pPr>
          </w:p>
        </w:tc>
        <w:tc>
          <w:tcPr>
            <w:tcW w:w="1317" w:type="dxa"/>
            <w:noWrap w:val="0"/>
            <w:vAlign w:val="center"/>
          </w:tcPr>
          <w:p w14:paraId="6E4FC677">
            <w:pPr>
              <w:widowControl w:val="0"/>
              <w:spacing w:line="440" w:lineRule="exact"/>
              <w:jc w:val="center"/>
              <w:rPr>
                <w:rFonts w:ascii="Times New Roman" w:hAnsi="Times New Roman" w:eastAsia="宋体" w:cs="Times New Roman"/>
                <w:kern w:val="2"/>
                <w:sz w:val="21"/>
                <w:szCs w:val="21"/>
                <w:lang w:val="en-US" w:eastAsia="zh-CN" w:bidi="ar-SA"/>
              </w:rPr>
            </w:pPr>
          </w:p>
        </w:tc>
        <w:tc>
          <w:tcPr>
            <w:tcW w:w="1275" w:type="dxa"/>
            <w:noWrap w:val="0"/>
            <w:vAlign w:val="center"/>
          </w:tcPr>
          <w:p w14:paraId="12DEBFDB">
            <w:pPr>
              <w:widowControl w:val="0"/>
              <w:spacing w:line="440" w:lineRule="exact"/>
              <w:jc w:val="center"/>
              <w:rPr>
                <w:rFonts w:ascii="Times New Roman" w:hAnsi="Times New Roman" w:eastAsia="宋体" w:cs="Times New Roman"/>
                <w:kern w:val="2"/>
                <w:sz w:val="21"/>
                <w:szCs w:val="21"/>
                <w:lang w:val="en-US" w:eastAsia="zh-CN" w:bidi="ar-SA"/>
              </w:rPr>
            </w:pPr>
          </w:p>
        </w:tc>
        <w:tc>
          <w:tcPr>
            <w:tcW w:w="4111" w:type="dxa"/>
            <w:noWrap w:val="0"/>
            <w:vAlign w:val="center"/>
          </w:tcPr>
          <w:p w14:paraId="71FA948D">
            <w:pPr>
              <w:widowControl w:val="0"/>
              <w:spacing w:line="440" w:lineRule="exact"/>
              <w:jc w:val="center"/>
              <w:rPr>
                <w:rFonts w:ascii="Times New Roman" w:hAnsi="Times New Roman" w:eastAsia="宋体" w:cs="Times New Roman"/>
                <w:kern w:val="2"/>
                <w:sz w:val="21"/>
                <w:szCs w:val="21"/>
                <w:lang w:val="en-US" w:eastAsia="zh-CN" w:bidi="ar-SA"/>
              </w:rPr>
            </w:pPr>
          </w:p>
        </w:tc>
        <w:tc>
          <w:tcPr>
            <w:tcW w:w="746" w:type="dxa"/>
            <w:noWrap w:val="0"/>
            <w:vAlign w:val="center"/>
          </w:tcPr>
          <w:p w14:paraId="4F113E57">
            <w:pPr>
              <w:widowControl w:val="0"/>
              <w:spacing w:line="440" w:lineRule="exact"/>
              <w:jc w:val="center"/>
              <w:rPr>
                <w:rFonts w:ascii="Times New Roman" w:hAnsi="Times New Roman" w:eastAsia="宋体" w:cs="Times New Roman"/>
                <w:kern w:val="2"/>
                <w:sz w:val="21"/>
                <w:szCs w:val="21"/>
                <w:lang w:val="en-US" w:eastAsia="zh-CN" w:bidi="ar-SA"/>
              </w:rPr>
            </w:pPr>
          </w:p>
        </w:tc>
      </w:tr>
      <w:tr w14:paraId="0A9A2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7D760430">
            <w:pPr>
              <w:widowControl w:val="0"/>
              <w:spacing w:line="440" w:lineRule="exact"/>
              <w:jc w:val="center"/>
              <w:rPr>
                <w:rFonts w:ascii="Times New Roman" w:hAnsi="Times New Roman" w:eastAsia="宋体" w:cs="Times New Roman"/>
                <w:kern w:val="2"/>
                <w:sz w:val="21"/>
                <w:szCs w:val="21"/>
                <w:lang w:val="en-US" w:eastAsia="zh-CN" w:bidi="ar-SA"/>
              </w:rPr>
            </w:pPr>
          </w:p>
        </w:tc>
        <w:tc>
          <w:tcPr>
            <w:tcW w:w="1317" w:type="dxa"/>
            <w:noWrap w:val="0"/>
            <w:vAlign w:val="center"/>
          </w:tcPr>
          <w:p w14:paraId="7BF94276">
            <w:pPr>
              <w:widowControl w:val="0"/>
              <w:spacing w:line="440" w:lineRule="exact"/>
              <w:jc w:val="center"/>
              <w:rPr>
                <w:rFonts w:ascii="Times New Roman" w:hAnsi="Times New Roman" w:eastAsia="宋体" w:cs="Times New Roman"/>
                <w:kern w:val="2"/>
                <w:sz w:val="21"/>
                <w:szCs w:val="21"/>
                <w:lang w:val="en-US" w:eastAsia="zh-CN" w:bidi="ar-SA"/>
              </w:rPr>
            </w:pPr>
          </w:p>
        </w:tc>
        <w:tc>
          <w:tcPr>
            <w:tcW w:w="1275" w:type="dxa"/>
            <w:noWrap w:val="0"/>
            <w:vAlign w:val="center"/>
          </w:tcPr>
          <w:p w14:paraId="66FB97BE">
            <w:pPr>
              <w:widowControl w:val="0"/>
              <w:spacing w:line="440" w:lineRule="exact"/>
              <w:jc w:val="center"/>
              <w:rPr>
                <w:rFonts w:ascii="Times New Roman" w:hAnsi="Times New Roman" w:eastAsia="宋体" w:cs="Times New Roman"/>
                <w:kern w:val="2"/>
                <w:sz w:val="21"/>
                <w:szCs w:val="21"/>
                <w:lang w:val="en-US" w:eastAsia="zh-CN" w:bidi="ar-SA"/>
              </w:rPr>
            </w:pPr>
          </w:p>
        </w:tc>
        <w:tc>
          <w:tcPr>
            <w:tcW w:w="4111" w:type="dxa"/>
            <w:noWrap w:val="0"/>
            <w:vAlign w:val="center"/>
          </w:tcPr>
          <w:p w14:paraId="279A4EDC">
            <w:pPr>
              <w:widowControl w:val="0"/>
              <w:spacing w:line="440" w:lineRule="exact"/>
              <w:jc w:val="center"/>
              <w:rPr>
                <w:rFonts w:ascii="Times New Roman" w:hAnsi="Times New Roman" w:eastAsia="宋体" w:cs="Times New Roman"/>
                <w:kern w:val="2"/>
                <w:sz w:val="21"/>
                <w:szCs w:val="21"/>
                <w:lang w:val="en-US" w:eastAsia="zh-CN" w:bidi="ar-SA"/>
              </w:rPr>
            </w:pPr>
          </w:p>
        </w:tc>
        <w:tc>
          <w:tcPr>
            <w:tcW w:w="746" w:type="dxa"/>
            <w:noWrap w:val="0"/>
            <w:vAlign w:val="center"/>
          </w:tcPr>
          <w:p w14:paraId="69CACBFA">
            <w:pPr>
              <w:widowControl w:val="0"/>
              <w:spacing w:line="440" w:lineRule="exact"/>
              <w:jc w:val="center"/>
              <w:rPr>
                <w:rFonts w:ascii="Times New Roman" w:hAnsi="Times New Roman" w:eastAsia="宋体" w:cs="Times New Roman"/>
                <w:kern w:val="2"/>
                <w:sz w:val="21"/>
                <w:szCs w:val="21"/>
                <w:lang w:val="en-US" w:eastAsia="zh-CN" w:bidi="ar-SA"/>
              </w:rPr>
            </w:pPr>
          </w:p>
        </w:tc>
      </w:tr>
      <w:tr w14:paraId="18E76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276CB704">
            <w:pPr>
              <w:widowControl w:val="0"/>
              <w:spacing w:line="440" w:lineRule="exact"/>
              <w:jc w:val="center"/>
              <w:rPr>
                <w:rFonts w:ascii="Times New Roman" w:hAnsi="Times New Roman" w:eastAsia="宋体" w:cs="Times New Roman"/>
                <w:kern w:val="2"/>
                <w:sz w:val="21"/>
                <w:szCs w:val="21"/>
                <w:lang w:val="en-US" w:eastAsia="zh-CN" w:bidi="ar-SA"/>
              </w:rPr>
            </w:pPr>
          </w:p>
        </w:tc>
        <w:tc>
          <w:tcPr>
            <w:tcW w:w="1317" w:type="dxa"/>
            <w:noWrap w:val="0"/>
            <w:vAlign w:val="center"/>
          </w:tcPr>
          <w:p w14:paraId="22490142">
            <w:pPr>
              <w:widowControl w:val="0"/>
              <w:spacing w:line="440" w:lineRule="exact"/>
              <w:jc w:val="center"/>
              <w:rPr>
                <w:rFonts w:ascii="Times New Roman" w:hAnsi="Times New Roman" w:eastAsia="宋体" w:cs="Times New Roman"/>
                <w:kern w:val="2"/>
                <w:sz w:val="21"/>
                <w:szCs w:val="21"/>
                <w:lang w:val="en-US" w:eastAsia="zh-CN" w:bidi="ar-SA"/>
              </w:rPr>
            </w:pPr>
          </w:p>
        </w:tc>
        <w:tc>
          <w:tcPr>
            <w:tcW w:w="1275" w:type="dxa"/>
            <w:noWrap w:val="0"/>
            <w:vAlign w:val="center"/>
          </w:tcPr>
          <w:p w14:paraId="1C149192">
            <w:pPr>
              <w:widowControl w:val="0"/>
              <w:spacing w:line="440" w:lineRule="exact"/>
              <w:jc w:val="center"/>
              <w:rPr>
                <w:rFonts w:ascii="Times New Roman" w:hAnsi="Times New Roman" w:eastAsia="宋体" w:cs="Times New Roman"/>
                <w:kern w:val="2"/>
                <w:sz w:val="21"/>
                <w:szCs w:val="21"/>
                <w:lang w:val="en-US" w:eastAsia="zh-CN" w:bidi="ar-SA"/>
              </w:rPr>
            </w:pPr>
          </w:p>
        </w:tc>
        <w:tc>
          <w:tcPr>
            <w:tcW w:w="4111" w:type="dxa"/>
            <w:noWrap w:val="0"/>
            <w:vAlign w:val="center"/>
          </w:tcPr>
          <w:p w14:paraId="04301398">
            <w:pPr>
              <w:widowControl w:val="0"/>
              <w:spacing w:line="440" w:lineRule="exact"/>
              <w:jc w:val="center"/>
              <w:rPr>
                <w:rFonts w:ascii="Times New Roman" w:hAnsi="Times New Roman" w:eastAsia="宋体" w:cs="Times New Roman"/>
                <w:kern w:val="2"/>
                <w:sz w:val="21"/>
                <w:szCs w:val="21"/>
                <w:lang w:val="en-US" w:eastAsia="zh-CN" w:bidi="ar-SA"/>
              </w:rPr>
            </w:pPr>
          </w:p>
        </w:tc>
        <w:tc>
          <w:tcPr>
            <w:tcW w:w="746" w:type="dxa"/>
            <w:noWrap w:val="0"/>
            <w:vAlign w:val="center"/>
          </w:tcPr>
          <w:p w14:paraId="414BA272">
            <w:pPr>
              <w:widowControl w:val="0"/>
              <w:spacing w:line="440" w:lineRule="exact"/>
              <w:jc w:val="center"/>
              <w:rPr>
                <w:rFonts w:ascii="Times New Roman" w:hAnsi="Times New Roman" w:eastAsia="宋体" w:cs="Times New Roman"/>
                <w:kern w:val="2"/>
                <w:sz w:val="21"/>
                <w:szCs w:val="21"/>
                <w:lang w:val="en-US" w:eastAsia="zh-CN" w:bidi="ar-SA"/>
              </w:rPr>
            </w:pPr>
          </w:p>
        </w:tc>
      </w:tr>
      <w:tr w14:paraId="2FF8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6195F23A">
            <w:pPr>
              <w:widowControl w:val="0"/>
              <w:spacing w:line="440" w:lineRule="exact"/>
              <w:jc w:val="center"/>
              <w:rPr>
                <w:rFonts w:ascii="Times New Roman" w:hAnsi="Times New Roman" w:eastAsia="宋体" w:cs="Times New Roman"/>
                <w:kern w:val="2"/>
                <w:sz w:val="21"/>
                <w:szCs w:val="21"/>
                <w:lang w:val="en-US" w:eastAsia="zh-CN" w:bidi="ar-SA"/>
              </w:rPr>
            </w:pPr>
          </w:p>
        </w:tc>
        <w:tc>
          <w:tcPr>
            <w:tcW w:w="1317" w:type="dxa"/>
            <w:noWrap w:val="0"/>
            <w:vAlign w:val="center"/>
          </w:tcPr>
          <w:p w14:paraId="4D35A6F4">
            <w:pPr>
              <w:widowControl w:val="0"/>
              <w:spacing w:line="440" w:lineRule="exact"/>
              <w:jc w:val="center"/>
              <w:rPr>
                <w:rFonts w:ascii="Times New Roman" w:hAnsi="Times New Roman" w:eastAsia="宋体" w:cs="Times New Roman"/>
                <w:kern w:val="2"/>
                <w:sz w:val="21"/>
                <w:szCs w:val="21"/>
                <w:lang w:val="en-US" w:eastAsia="zh-CN" w:bidi="ar-SA"/>
              </w:rPr>
            </w:pPr>
          </w:p>
        </w:tc>
        <w:tc>
          <w:tcPr>
            <w:tcW w:w="1275" w:type="dxa"/>
            <w:noWrap w:val="0"/>
            <w:vAlign w:val="center"/>
          </w:tcPr>
          <w:p w14:paraId="4A2FC784">
            <w:pPr>
              <w:widowControl w:val="0"/>
              <w:spacing w:line="440" w:lineRule="exact"/>
              <w:jc w:val="center"/>
              <w:rPr>
                <w:rFonts w:ascii="Times New Roman" w:hAnsi="Times New Roman" w:eastAsia="宋体" w:cs="Times New Roman"/>
                <w:kern w:val="2"/>
                <w:sz w:val="21"/>
                <w:szCs w:val="21"/>
                <w:lang w:val="en-US" w:eastAsia="zh-CN" w:bidi="ar-SA"/>
              </w:rPr>
            </w:pPr>
          </w:p>
        </w:tc>
        <w:tc>
          <w:tcPr>
            <w:tcW w:w="4111" w:type="dxa"/>
            <w:noWrap w:val="0"/>
            <w:vAlign w:val="center"/>
          </w:tcPr>
          <w:p w14:paraId="753EF582">
            <w:pPr>
              <w:widowControl w:val="0"/>
              <w:spacing w:line="440" w:lineRule="exact"/>
              <w:jc w:val="center"/>
              <w:rPr>
                <w:rFonts w:ascii="Times New Roman" w:hAnsi="Times New Roman" w:eastAsia="宋体" w:cs="Times New Roman"/>
                <w:kern w:val="2"/>
                <w:sz w:val="21"/>
                <w:szCs w:val="21"/>
                <w:lang w:val="en-US" w:eastAsia="zh-CN" w:bidi="ar-SA"/>
              </w:rPr>
            </w:pPr>
          </w:p>
        </w:tc>
        <w:tc>
          <w:tcPr>
            <w:tcW w:w="746" w:type="dxa"/>
            <w:noWrap w:val="0"/>
            <w:vAlign w:val="center"/>
          </w:tcPr>
          <w:p w14:paraId="76E274E2">
            <w:pPr>
              <w:widowControl w:val="0"/>
              <w:spacing w:line="440" w:lineRule="exact"/>
              <w:jc w:val="center"/>
              <w:rPr>
                <w:rFonts w:ascii="Times New Roman" w:hAnsi="Times New Roman" w:eastAsia="宋体" w:cs="Times New Roman"/>
                <w:kern w:val="2"/>
                <w:sz w:val="21"/>
                <w:szCs w:val="21"/>
                <w:lang w:val="en-US" w:eastAsia="zh-CN" w:bidi="ar-SA"/>
              </w:rPr>
            </w:pPr>
          </w:p>
        </w:tc>
      </w:tr>
      <w:tr w14:paraId="7F432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center"/>
          </w:tcPr>
          <w:p w14:paraId="26A15C9B">
            <w:pPr>
              <w:widowControl w:val="0"/>
              <w:spacing w:line="440" w:lineRule="exact"/>
              <w:jc w:val="center"/>
              <w:rPr>
                <w:rFonts w:ascii="Times New Roman" w:hAnsi="Times New Roman" w:eastAsia="宋体" w:cs="Times New Roman"/>
                <w:kern w:val="2"/>
                <w:sz w:val="21"/>
                <w:szCs w:val="21"/>
                <w:lang w:val="en-US" w:eastAsia="zh-CN" w:bidi="ar-SA"/>
              </w:rPr>
            </w:pPr>
          </w:p>
        </w:tc>
        <w:tc>
          <w:tcPr>
            <w:tcW w:w="1317" w:type="dxa"/>
            <w:noWrap w:val="0"/>
            <w:vAlign w:val="center"/>
          </w:tcPr>
          <w:p w14:paraId="2D316D59">
            <w:pPr>
              <w:widowControl w:val="0"/>
              <w:spacing w:line="440" w:lineRule="exact"/>
              <w:jc w:val="center"/>
              <w:rPr>
                <w:rFonts w:ascii="Times New Roman" w:hAnsi="Times New Roman" w:eastAsia="宋体" w:cs="Times New Roman"/>
                <w:kern w:val="2"/>
                <w:sz w:val="21"/>
                <w:szCs w:val="21"/>
                <w:lang w:val="en-US" w:eastAsia="zh-CN" w:bidi="ar-SA"/>
              </w:rPr>
            </w:pPr>
          </w:p>
        </w:tc>
        <w:tc>
          <w:tcPr>
            <w:tcW w:w="1275" w:type="dxa"/>
            <w:noWrap w:val="0"/>
            <w:vAlign w:val="center"/>
          </w:tcPr>
          <w:p w14:paraId="6A26FBFA">
            <w:pPr>
              <w:widowControl w:val="0"/>
              <w:spacing w:line="440" w:lineRule="exact"/>
              <w:jc w:val="center"/>
              <w:rPr>
                <w:rFonts w:ascii="Times New Roman" w:hAnsi="Times New Roman" w:eastAsia="宋体" w:cs="Times New Roman"/>
                <w:kern w:val="2"/>
                <w:sz w:val="21"/>
                <w:szCs w:val="21"/>
                <w:lang w:val="en-US" w:eastAsia="zh-CN" w:bidi="ar-SA"/>
              </w:rPr>
            </w:pPr>
          </w:p>
        </w:tc>
        <w:tc>
          <w:tcPr>
            <w:tcW w:w="4111" w:type="dxa"/>
            <w:noWrap w:val="0"/>
            <w:vAlign w:val="center"/>
          </w:tcPr>
          <w:p w14:paraId="5BF6F08C">
            <w:pPr>
              <w:widowControl w:val="0"/>
              <w:spacing w:line="440" w:lineRule="exact"/>
              <w:jc w:val="center"/>
              <w:rPr>
                <w:rFonts w:ascii="Times New Roman" w:hAnsi="Times New Roman" w:eastAsia="宋体" w:cs="Times New Roman"/>
                <w:kern w:val="2"/>
                <w:sz w:val="21"/>
                <w:szCs w:val="21"/>
                <w:lang w:val="en-US" w:eastAsia="zh-CN" w:bidi="ar-SA"/>
              </w:rPr>
            </w:pPr>
          </w:p>
        </w:tc>
        <w:tc>
          <w:tcPr>
            <w:tcW w:w="746" w:type="dxa"/>
            <w:noWrap w:val="0"/>
            <w:vAlign w:val="center"/>
          </w:tcPr>
          <w:p w14:paraId="03F702F7">
            <w:pPr>
              <w:widowControl w:val="0"/>
              <w:spacing w:line="440" w:lineRule="exact"/>
              <w:jc w:val="center"/>
              <w:rPr>
                <w:rFonts w:ascii="Times New Roman" w:hAnsi="Times New Roman" w:eastAsia="宋体" w:cs="Times New Roman"/>
                <w:kern w:val="2"/>
                <w:sz w:val="21"/>
                <w:szCs w:val="21"/>
                <w:lang w:val="en-US" w:eastAsia="zh-CN" w:bidi="ar-SA"/>
              </w:rPr>
            </w:pPr>
          </w:p>
        </w:tc>
      </w:tr>
    </w:tbl>
    <w:p w14:paraId="5D137347">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p>
    <w:p w14:paraId="74F814E6">
      <w:pPr>
        <w:widowControl/>
        <w:spacing w:line="360" w:lineRule="auto"/>
        <w:ind w:firstLine="630" w:firstLineChars="300"/>
        <w:jc w:val="right"/>
        <w:rPr>
          <w:rFonts w:ascii="Times New Roman" w:hAnsi="Times New Roman" w:eastAsia="宋体" w:cs="Times New Roman"/>
          <w:kern w:val="2"/>
          <w:sz w:val="21"/>
          <w:szCs w:val="21"/>
          <w:lang w:val="en-US" w:eastAsia="zh-CN" w:bidi="ar-SA"/>
        </w:rPr>
      </w:pPr>
    </w:p>
    <w:p w14:paraId="2B8276E5">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备注：招标人应根据招标文件合同条款的主要内容对本表内容进行扩充、修改。</w:t>
      </w:r>
    </w:p>
    <w:p w14:paraId="68B83965">
      <w:pPr>
        <w:pStyle w:val="43"/>
        <w:jc w:val="center"/>
        <w:outlineLvl w:val="1"/>
      </w:pPr>
      <w:r>
        <w:br w:type="page"/>
      </w:r>
      <w:bookmarkStart w:id="312" w:name="_Toc256000042"/>
      <w:bookmarkStart w:id="313" w:name="_Toc19427"/>
      <w:bookmarkStart w:id="314" w:name="_Toc26054"/>
      <w:bookmarkStart w:id="315" w:name="_Toc30554"/>
      <w:r>
        <w:rPr>
          <w:rFonts w:eastAsia="黑体"/>
          <w:sz w:val="32"/>
        </w:rPr>
        <w:t>二、法定代表人身份证明</w:t>
      </w:r>
      <w:bookmarkEnd w:id="312"/>
      <w:bookmarkEnd w:id="313"/>
      <w:bookmarkEnd w:id="314"/>
      <w:bookmarkEnd w:id="315"/>
    </w:p>
    <w:p w14:paraId="7F89D7B1">
      <w:pPr>
        <w:widowControl w:val="0"/>
        <w:spacing w:line="440" w:lineRule="exact"/>
        <w:ind w:firstLine="400" w:firstLineChars="200"/>
        <w:jc w:val="both"/>
        <w:rPr>
          <w:rFonts w:ascii="Times New Roman" w:hAnsi="Times New Roman" w:eastAsia="宋体" w:cs="Times New Roman"/>
          <w:kern w:val="2"/>
          <w:sz w:val="20"/>
          <w:szCs w:val="20"/>
          <w:lang w:val="en-US" w:eastAsia="zh-CN" w:bidi="ar-SA"/>
        </w:rPr>
      </w:pPr>
    </w:p>
    <w:p w14:paraId="538D2315">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投标人名称：</w:t>
      </w:r>
      <w:r>
        <w:rPr>
          <w:rFonts w:ascii="Times New Roman" w:hAnsi="Times New Roman" w:eastAsia="宋体" w:cs="Times New Roman"/>
          <w:kern w:val="2"/>
          <w:sz w:val="21"/>
          <w:szCs w:val="21"/>
          <w:u w:val="single"/>
          <w:lang w:val="en-US" w:eastAsia="zh-CN" w:bidi="ar-SA"/>
        </w:rPr>
        <w:t xml:space="preserve">                              </w:t>
      </w:r>
    </w:p>
    <w:p w14:paraId="31AA2610">
      <w:pPr>
        <w:widowControl w:val="0"/>
        <w:spacing w:line="400" w:lineRule="atLeas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单位性质：</w:t>
      </w:r>
      <w:r>
        <w:rPr>
          <w:rFonts w:ascii="Times New Roman" w:hAnsi="Times New Roman" w:eastAsia="宋体" w:cs="Times New Roman"/>
          <w:kern w:val="2"/>
          <w:sz w:val="21"/>
          <w:szCs w:val="21"/>
          <w:u w:val="single"/>
          <w:lang w:val="en-US" w:eastAsia="zh-CN" w:bidi="ar-SA"/>
        </w:rPr>
        <w:t xml:space="preserve">                                </w:t>
      </w:r>
    </w:p>
    <w:p w14:paraId="427010A3">
      <w:pPr>
        <w:widowControl w:val="0"/>
        <w:spacing w:line="400" w:lineRule="atLeas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地址：</w:t>
      </w:r>
      <w:r>
        <w:rPr>
          <w:rFonts w:ascii="Times New Roman" w:hAnsi="Times New Roman" w:eastAsia="宋体" w:cs="Times New Roman"/>
          <w:kern w:val="2"/>
          <w:sz w:val="21"/>
          <w:szCs w:val="21"/>
          <w:u w:val="single"/>
          <w:lang w:val="en-US" w:eastAsia="zh-CN" w:bidi="ar-SA"/>
        </w:rPr>
        <w:t xml:space="preserve">                                    </w:t>
      </w:r>
    </w:p>
    <w:p w14:paraId="77C67637">
      <w:pPr>
        <w:widowControl w:val="0"/>
        <w:spacing w:line="400" w:lineRule="atLeas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成立时间：</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 xml:space="preserve"> 年</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 xml:space="preserve"> 月</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 xml:space="preserve"> 日</w:t>
      </w:r>
    </w:p>
    <w:p w14:paraId="3B171AED">
      <w:pPr>
        <w:widowControl w:val="0"/>
        <w:spacing w:line="400" w:lineRule="atLeas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经营期限：</w:t>
      </w:r>
      <w:r>
        <w:rPr>
          <w:rFonts w:ascii="Times New Roman" w:hAnsi="Times New Roman" w:eastAsia="宋体" w:cs="Times New Roman"/>
          <w:kern w:val="2"/>
          <w:sz w:val="21"/>
          <w:szCs w:val="21"/>
          <w:u w:val="single"/>
          <w:lang w:val="en-US" w:eastAsia="zh-CN" w:bidi="ar-SA"/>
        </w:rPr>
        <w:t xml:space="preserve">                                </w:t>
      </w:r>
    </w:p>
    <w:p w14:paraId="3A65D06E">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姓名：</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 xml:space="preserve"> 性别：</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 xml:space="preserve"> 年龄：</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职务：</w:t>
      </w:r>
      <w:r>
        <w:rPr>
          <w:rFonts w:ascii="Times New Roman" w:hAnsi="Times New Roman" w:eastAsia="宋体" w:cs="Times New Roman"/>
          <w:kern w:val="2"/>
          <w:sz w:val="21"/>
          <w:szCs w:val="21"/>
          <w:u w:val="single"/>
          <w:lang w:val="en-US" w:eastAsia="zh-CN" w:bidi="ar-SA"/>
        </w:rPr>
        <w:t xml:space="preserve">        </w:t>
      </w:r>
    </w:p>
    <w:p w14:paraId="4378F100">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系</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 xml:space="preserve"> (投标人名称)的法定代表人。</w:t>
      </w:r>
    </w:p>
    <w:p w14:paraId="423D4F38">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特此证明。</w:t>
      </w:r>
    </w:p>
    <w:p w14:paraId="79BDE8E7">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p>
    <w:p w14:paraId="04A735F9">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附：法定代表人身份证扫描件。</w:t>
      </w:r>
    </w:p>
    <w:p w14:paraId="676A2421">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p>
    <w:p w14:paraId="0D60D0A3">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p>
    <w:p w14:paraId="54DBEF64">
      <w:pPr>
        <w:widowControl w:val="0"/>
        <w:spacing w:line="440" w:lineRule="exact"/>
        <w:ind w:firstLine="420" w:firstLineChars="200"/>
        <w:jc w:val="both"/>
        <w:rPr>
          <w:rFonts w:ascii="Times New Roman" w:hAnsi="Times New Roman" w:eastAsia="宋体" w:cs="Times New Roman"/>
          <w:kern w:val="2"/>
          <w:sz w:val="21"/>
          <w:szCs w:val="21"/>
          <w:lang w:val="en-US" w:eastAsia="zh-CN" w:bidi="ar-SA"/>
        </w:rPr>
      </w:pPr>
    </w:p>
    <w:p w14:paraId="2917F968">
      <w:pPr>
        <w:widowControl w:val="0"/>
        <w:spacing w:line="440" w:lineRule="exact"/>
        <w:ind w:firstLine="420" w:firstLineChars="200"/>
        <w:jc w:val="right"/>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投标人：</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(盖单位章)</w:t>
      </w:r>
    </w:p>
    <w:p w14:paraId="22FD6963">
      <w:pPr>
        <w:widowControl w:val="0"/>
        <w:spacing w:line="440" w:lineRule="exact"/>
        <w:ind w:firstLine="420" w:firstLineChars="200"/>
        <w:jc w:val="right"/>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年</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月</w:t>
      </w:r>
      <w:r>
        <w:rPr>
          <w:rFonts w:ascii="Times New Roman" w:hAnsi="Times New Roman" w:eastAsia="宋体" w:cs="Times New Roman"/>
          <w:kern w:val="2"/>
          <w:sz w:val="21"/>
          <w:szCs w:val="21"/>
          <w:u w:val="single"/>
          <w:lang w:val="en-US" w:eastAsia="zh-CN" w:bidi="ar-SA"/>
        </w:rPr>
        <w:t xml:space="preserve">   </w:t>
      </w:r>
      <w:r>
        <w:rPr>
          <w:rFonts w:ascii="Times New Roman" w:hAnsi="Times New Roman" w:eastAsia="宋体" w:cs="Times New Roman"/>
          <w:kern w:val="2"/>
          <w:sz w:val="21"/>
          <w:szCs w:val="21"/>
          <w:lang w:val="en-US" w:eastAsia="zh-CN" w:bidi="ar-SA"/>
        </w:rPr>
        <w:t xml:space="preserve"> 日</w:t>
      </w:r>
    </w:p>
    <w:p w14:paraId="65A1A9DA">
      <w:pPr>
        <w:widowControl/>
        <w:jc w:val="left"/>
        <w:outlineLvl w:val="1"/>
        <w:rPr>
          <w:rFonts w:ascii="黑体" w:hAnsi="黑体" w:eastAsia="黑体" w:cs="黑体"/>
          <w:kern w:val="0"/>
          <w:sz w:val="32"/>
          <w:szCs w:val="24"/>
          <w:lang w:eastAsia="en-US"/>
        </w:rPr>
      </w:pPr>
      <w:r>
        <w:br w:type="page"/>
      </w:r>
      <w:bookmarkStart w:id="316" w:name="_Toc1030"/>
      <w:bookmarkStart w:id="317" w:name="_Toc19773"/>
      <w:bookmarkStart w:id="318" w:name="_Toc13618"/>
      <w:bookmarkStart w:id="319" w:name="_Toc256000043"/>
      <w:r>
        <w:rPr>
          <w:rFonts w:ascii="黑体" w:hAnsi="黑体" w:eastAsia="黑体" w:cs="黑体"/>
          <w:kern w:val="0"/>
          <w:sz w:val="32"/>
          <w:szCs w:val="24"/>
          <w:lang w:eastAsia="en-US"/>
        </w:rPr>
        <w:t>三、投标保证金</w:t>
      </w:r>
    </w:p>
    <w:p w14:paraId="055B139A">
      <w:pPr>
        <w:spacing w:after="200" w:line="276" w:lineRule="auto"/>
        <w:ind w:firstLine="420"/>
        <w:rPr>
          <w:rFonts w:ascii="Times New Roman" w:hAnsi="Times New Roman"/>
          <w:sz w:val="24"/>
          <w:szCs w:val="24"/>
        </w:rPr>
      </w:pPr>
      <w:r>
        <w:rPr>
          <w:rFonts w:ascii="Times New Roman" w:hAnsi="Times New Roman"/>
          <w:sz w:val="24"/>
          <w:szCs w:val="24"/>
        </w:rPr>
        <w:t>若采用现金或支票，投标人应在此提供汇款凭证的扫描件。</w:t>
      </w:r>
    </w:p>
    <w:p w14:paraId="5D1A83DD">
      <w:pPr>
        <w:spacing w:after="200" w:line="276" w:lineRule="auto"/>
        <w:ind w:firstLine="420"/>
        <w:rPr>
          <w:rFonts w:ascii="Times New Roman" w:hAnsi="Times New Roman"/>
          <w:sz w:val="24"/>
          <w:szCs w:val="24"/>
        </w:rPr>
      </w:pPr>
      <w:r>
        <w:rPr>
          <w:rFonts w:ascii="Times New Roman" w:hAnsi="Times New Roman"/>
          <w:sz w:val="24"/>
          <w:szCs w:val="24"/>
        </w:rPr>
        <w:t>如采用银行保函，格式如下。</w:t>
      </w:r>
    </w:p>
    <w:p w14:paraId="6F922C6D">
      <w:pPr>
        <w:spacing w:after="200" w:line="276" w:lineRule="auto"/>
        <w:ind w:firstLine="420"/>
        <w:rPr>
          <w:rFonts w:ascii="Times New Roman" w:hAnsi="Times New Roman"/>
          <w:sz w:val="24"/>
          <w:szCs w:val="24"/>
        </w:rPr>
      </w:pPr>
    </w:p>
    <w:p w14:paraId="6F7391F5">
      <w:pPr>
        <w:spacing w:after="200" w:line="400" w:lineRule="atLeast"/>
        <w:rPr>
          <w:rFonts w:ascii="Times New Roman" w:hAnsi="Times New Roman"/>
          <w:sz w:val="24"/>
          <w:szCs w:val="21"/>
        </w:rPr>
      </w:pPr>
      <w:r>
        <w:rPr>
          <w:rFonts w:ascii="Times New Roman" w:hAnsi="Times New Roman"/>
          <w:sz w:val="24"/>
          <w:szCs w:val="21"/>
          <w:u w:val="single"/>
        </w:rPr>
        <w:t xml:space="preserve">          </w:t>
      </w:r>
      <w:r>
        <w:rPr>
          <w:rFonts w:ascii="Times New Roman" w:hAnsi="Times New Roman"/>
          <w:sz w:val="24"/>
          <w:szCs w:val="21"/>
        </w:rPr>
        <w:t>（招标人名称）：</w:t>
      </w:r>
    </w:p>
    <w:p w14:paraId="45FEF8A8">
      <w:pPr>
        <w:spacing w:after="200" w:line="400" w:lineRule="atLeast"/>
        <w:ind w:firstLine="420"/>
        <w:rPr>
          <w:rFonts w:ascii="Times New Roman" w:hAnsi="Times New Roman"/>
          <w:sz w:val="24"/>
          <w:szCs w:val="21"/>
        </w:rPr>
      </w:pPr>
      <w:r>
        <w:rPr>
          <w:rFonts w:ascii="Times New Roman" w:hAnsi="Times New Roman"/>
          <w:sz w:val="24"/>
          <w:szCs w:val="21"/>
        </w:rPr>
        <w:t>鉴于</w:t>
      </w:r>
      <w:r>
        <w:rPr>
          <w:rFonts w:ascii="Times New Roman" w:hAnsi="Times New Roman"/>
          <w:sz w:val="24"/>
          <w:szCs w:val="21"/>
          <w:u w:val="single"/>
        </w:rPr>
        <w:t xml:space="preserve">            </w:t>
      </w:r>
      <w:r>
        <w:rPr>
          <w:rFonts w:ascii="Times New Roman" w:hAnsi="Times New Roman"/>
          <w:sz w:val="24"/>
          <w:szCs w:val="21"/>
          <w:u w:val="single"/>
        </w:rPr>
        <w:tab/>
      </w:r>
      <w:r>
        <w:rPr>
          <w:rFonts w:ascii="Times New Roman" w:hAnsi="Times New Roman"/>
          <w:sz w:val="24"/>
          <w:szCs w:val="21"/>
        </w:rPr>
        <w:t>（投标人名称）（以下称“投标人”）于</w:t>
      </w:r>
      <w:r>
        <w:rPr>
          <w:rFonts w:ascii="Times New Roman" w:hAnsi="Times New Roman"/>
          <w:sz w:val="24"/>
          <w:szCs w:val="21"/>
          <w:u w:val="single"/>
        </w:rPr>
        <w:t xml:space="preserve">      </w:t>
      </w:r>
      <w:r>
        <w:rPr>
          <w:rFonts w:ascii="Times New Roman" w:hAnsi="Times New Roman"/>
          <w:sz w:val="24"/>
          <w:szCs w:val="21"/>
        </w:rPr>
        <w:t>年</w:t>
      </w:r>
      <w:r>
        <w:rPr>
          <w:rFonts w:ascii="Times New Roman" w:hAnsi="Times New Roman"/>
          <w:sz w:val="24"/>
          <w:szCs w:val="21"/>
          <w:u w:val="single"/>
        </w:rPr>
        <w:t xml:space="preserve">   </w:t>
      </w:r>
      <w:r>
        <w:rPr>
          <w:rFonts w:ascii="Times New Roman" w:hAnsi="Times New Roman"/>
          <w:sz w:val="24"/>
          <w:szCs w:val="21"/>
          <w:u w:val="single"/>
        </w:rPr>
        <w:tab/>
      </w:r>
      <w:r>
        <w:rPr>
          <w:rFonts w:ascii="Times New Roman" w:hAnsi="Times New Roman"/>
          <w:sz w:val="24"/>
          <w:szCs w:val="21"/>
        </w:rPr>
        <w:t>月</w:t>
      </w:r>
      <w:r>
        <w:rPr>
          <w:rFonts w:ascii="Times New Roman" w:hAnsi="Times New Roman"/>
          <w:sz w:val="24"/>
          <w:szCs w:val="21"/>
          <w:u w:val="single"/>
        </w:rPr>
        <w:t xml:space="preserve">    </w:t>
      </w:r>
      <w:r>
        <w:rPr>
          <w:rFonts w:ascii="Times New Roman" w:hAnsi="Times New Roman"/>
          <w:sz w:val="24"/>
          <w:szCs w:val="21"/>
        </w:rPr>
        <w:t>日参加</w:t>
      </w:r>
      <w:r>
        <w:rPr>
          <w:rFonts w:ascii="Times New Roman" w:hAnsi="Times New Roman"/>
          <w:sz w:val="24"/>
          <w:szCs w:val="21"/>
          <w:u w:val="single"/>
        </w:rPr>
        <w:t xml:space="preserve">         </w:t>
      </w:r>
      <w:r>
        <w:rPr>
          <w:rFonts w:ascii="Times New Roman" w:hAnsi="Times New Roman"/>
          <w:sz w:val="24"/>
          <w:szCs w:val="21"/>
        </w:rPr>
        <w:t>（项目名称）</w:t>
      </w:r>
      <w:r>
        <w:rPr>
          <w:rFonts w:ascii="Times New Roman" w:hAnsi="Times New Roman"/>
          <w:sz w:val="24"/>
          <w:szCs w:val="21"/>
          <w:u w:val="single"/>
        </w:rPr>
        <w:t xml:space="preserve">       </w:t>
      </w:r>
      <w:r>
        <w:rPr>
          <w:rFonts w:ascii="Times New Roman" w:hAnsi="Times New Roman"/>
          <w:sz w:val="24"/>
          <w:szCs w:val="21"/>
        </w:rPr>
        <w:t>（标段名称）</w:t>
      </w:r>
      <w:r>
        <w:rPr>
          <w:rFonts w:ascii="Times New Roman" w:hAnsi="Times New Roman"/>
          <w:sz w:val="24"/>
          <w:szCs w:val="21"/>
          <w:u w:val="single"/>
        </w:rPr>
        <w:t xml:space="preserve">     </w:t>
      </w:r>
      <w:r>
        <w:rPr>
          <w:rFonts w:ascii="Times New Roman" w:hAnsi="Times New Roman"/>
          <w:sz w:val="24"/>
          <w:szCs w:val="21"/>
        </w:rPr>
        <w:t xml:space="preserve">（服务名称）招标的投标（标段编号：___________），  </w:t>
      </w:r>
      <w:r>
        <w:rPr>
          <w:rFonts w:ascii="Times New Roman" w:hAnsi="Times New Roman"/>
          <w:sz w:val="24"/>
          <w:szCs w:val="21"/>
          <w:u w:val="single"/>
        </w:rPr>
        <w:t xml:space="preserve">              </w:t>
      </w:r>
      <w:r>
        <w:rPr>
          <w:rFonts w:ascii="Times New Roman" w:hAnsi="Times New Roman"/>
          <w:sz w:val="24"/>
          <w:szCs w:val="21"/>
        </w:rPr>
        <w:t xml:space="preserve"> （担保人名称，以下简称“我 方”）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 收到你方书面通知后，我方在 7 日内向你方无条件支付人民币（大写）</w:t>
      </w:r>
      <w:r>
        <w:rPr>
          <w:rFonts w:ascii="Times New Roman" w:hAnsi="Times New Roman"/>
          <w:sz w:val="24"/>
          <w:szCs w:val="21"/>
          <w:u w:val="single"/>
        </w:rPr>
        <w:t xml:space="preserve">                   </w:t>
      </w:r>
      <w:r>
        <w:rPr>
          <w:rFonts w:ascii="Times New Roman" w:hAnsi="Times New Roman"/>
          <w:sz w:val="24"/>
          <w:szCs w:val="21"/>
        </w:rPr>
        <w:t xml:space="preserve"> 元。</w:t>
      </w:r>
    </w:p>
    <w:p w14:paraId="1AFD3646">
      <w:pPr>
        <w:spacing w:after="200" w:line="400" w:lineRule="atLeast"/>
        <w:ind w:firstLine="420"/>
        <w:rPr>
          <w:rFonts w:ascii="Times New Roman" w:hAnsi="Times New Roman"/>
          <w:sz w:val="24"/>
          <w:szCs w:val="21"/>
        </w:rPr>
      </w:pPr>
      <w:r>
        <w:rPr>
          <w:rFonts w:ascii="Times New Roman" w:hAnsi="Times New Roman"/>
          <w:sz w:val="24"/>
          <w:szCs w:val="21"/>
        </w:rPr>
        <w:t>本保函在投标有效期内保持有效。要求我方承担保证责任的通知应在投标有效期内送达我 方。</w:t>
      </w:r>
    </w:p>
    <w:p w14:paraId="3911CCEC">
      <w:pPr>
        <w:spacing w:after="200" w:line="276" w:lineRule="auto"/>
        <w:ind w:firstLine="420"/>
        <w:rPr>
          <w:rFonts w:ascii="Times New Roman" w:hAnsi="Times New Roman"/>
          <w:sz w:val="24"/>
          <w:szCs w:val="24"/>
        </w:rPr>
      </w:pPr>
    </w:p>
    <w:p w14:paraId="221C241D">
      <w:pPr>
        <w:spacing w:after="200" w:line="276" w:lineRule="auto"/>
        <w:ind w:firstLine="420"/>
        <w:rPr>
          <w:rFonts w:ascii="Times New Roman" w:hAnsi="Times New Roman"/>
          <w:sz w:val="24"/>
          <w:szCs w:val="24"/>
        </w:rPr>
      </w:pPr>
    </w:p>
    <w:p w14:paraId="1B347C14">
      <w:pPr>
        <w:spacing w:after="200" w:line="276" w:lineRule="auto"/>
        <w:ind w:firstLine="420"/>
        <w:rPr>
          <w:rFonts w:ascii="Times New Roman" w:hAnsi="Times New Roman"/>
          <w:sz w:val="24"/>
          <w:szCs w:val="24"/>
        </w:rPr>
      </w:pPr>
    </w:p>
    <w:p w14:paraId="6CEF85ED">
      <w:pPr>
        <w:tabs>
          <w:tab w:val="left" w:pos="7480"/>
        </w:tabs>
        <w:autoSpaceDE w:val="0"/>
        <w:autoSpaceDN w:val="0"/>
        <w:adjustRightInd w:val="0"/>
        <w:spacing w:after="200" w:line="333" w:lineRule="exact"/>
        <w:ind w:firstLine="3840" w:firstLineChars="1600"/>
        <w:jc w:val="right"/>
        <w:rPr>
          <w:rFonts w:ascii="Times New Roman" w:hAnsi="Times New Roman"/>
          <w:kern w:val="0"/>
          <w:sz w:val="24"/>
          <w:szCs w:val="21"/>
        </w:rPr>
      </w:pPr>
      <w:r>
        <w:rPr>
          <w:rFonts w:ascii="Times New Roman" w:hAnsi="Times New Roman"/>
          <w:kern w:val="0"/>
          <w:position w:val="-4"/>
          <w:sz w:val="24"/>
          <w:szCs w:val="21"/>
        </w:rPr>
        <w:t>担保</w:t>
      </w:r>
      <w:r>
        <w:rPr>
          <w:rFonts w:ascii="Times New Roman" w:hAnsi="Times New Roman"/>
          <w:spacing w:val="-2"/>
          <w:kern w:val="0"/>
          <w:position w:val="-4"/>
          <w:sz w:val="24"/>
          <w:szCs w:val="21"/>
        </w:rPr>
        <w:t>人</w:t>
      </w:r>
      <w:r>
        <w:rPr>
          <w:rFonts w:ascii="Times New Roman" w:hAnsi="Times New Roman"/>
          <w:kern w:val="0"/>
          <w:position w:val="-4"/>
          <w:sz w:val="24"/>
          <w:szCs w:val="21"/>
        </w:rPr>
        <w:t>名</w:t>
      </w:r>
      <w:r>
        <w:rPr>
          <w:rFonts w:ascii="Times New Roman" w:hAnsi="Times New Roman"/>
          <w:spacing w:val="-2"/>
          <w:kern w:val="0"/>
          <w:position w:val="-4"/>
          <w:sz w:val="24"/>
          <w:szCs w:val="21"/>
        </w:rPr>
        <w:t>称</w:t>
      </w:r>
      <w:r>
        <w:rPr>
          <w:rFonts w:ascii="Times New Roman" w:hAnsi="Times New Roman"/>
          <w:kern w:val="0"/>
          <w:position w:val="-4"/>
          <w:sz w:val="24"/>
          <w:szCs w:val="21"/>
        </w:rPr>
        <w:t>：</w:t>
      </w:r>
      <w:r>
        <w:rPr>
          <w:rFonts w:ascii="Times New Roman" w:hAnsi="Times New Roman"/>
          <w:spacing w:val="-2"/>
          <w:kern w:val="0"/>
          <w:sz w:val="24"/>
          <w:szCs w:val="21"/>
          <w:u w:val="single"/>
        </w:rPr>
        <w:t xml:space="preserve">            </w:t>
      </w:r>
      <w:r>
        <w:rPr>
          <w:rFonts w:ascii="Times New Roman" w:hAnsi="Times New Roman"/>
          <w:kern w:val="0"/>
          <w:position w:val="-4"/>
          <w:sz w:val="24"/>
          <w:szCs w:val="21"/>
        </w:rPr>
        <w:t>（盖</w:t>
      </w:r>
      <w:r>
        <w:rPr>
          <w:rFonts w:ascii="Times New Roman" w:hAnsi="Times New Roman"/>
          <w:spacing w:val="-2"/>
          <w:kern w:val="0"/>
          <w:position w:val="-4"/>
          <w:sz w:val="24"/>
          <w:szCs w:val="21"/>
        </w:rPr>
        <w:t>单</w:t>
      </w:r>
      <w:r>
        <w:rPr>
          <w:rFonts w:ascii="Times New Roman" w:hAnsi="Times New Roman"/>
          <w:kern w:val="0"/>
          <w:position w:val="-4"/>
          <w:sz w:val="24"/>
          <w:szCs w:val="21"/>
        </w:rPr>
        <w:t>位</w:t>
      </w:r>
      <w:r>
        <w:rPr>
          <w:rFonts w:ascii="Times New Roman" w:hAnsi="Times New Roman"/>
          <w:spacing w:val="-2"/>
          <w:kern w:val="0"/>
          <w:position w:val="-4"/>
          <w:sz w:val="24"/>
          <w:szCs w:val="21"/>
        </w:rPr>
        <w:t>章</w:t>
      </w:r>
      <w:r>
        <w:rPr>
          <w:rFonts w:ascii="Times New Roman" w:hAnsi="Times New Roman"/>
          <w:kern w:val="0"/>
          <w:position w:val="-4"/>
          <w:sz w:val="24"/>
          <w:szCs w:val="21"/>
        </w:rPr>
        <w:t>）</w:t>
      </w:r>
    </w:p>
    <w:p w14:paraId="37E4BBFF">
      <w:pPr>
        <w:tabs>
          <w:tab w:val="left" w:pos="7905"/>
        </w:tabs>
        <w:autoSpaceDE w:val="0"/>
        <w:autoSpaceDN w:val="0"/>
        <w:adjustRightInd w:val="0"/>
        <w:spacing w:after="200" w:line="271" w:lineRule="exact"/>
        <w:ind w:firstLine="3840" w:firstLineChars="1600"/>
        <w:jc w:val="right"/>
        <w:rPr>
          <w:rFonts w:ascii="Times New Roman" w:hAnsi="Times New Roman"/>
          <w:kern w:val="0"/>
          <w:sz w:val="24"/>
          <w:szCs w:val="21"/>
        </w:rPr>
      </w:pPr>
      <w:r>
        <w:rPr>
          <w:rFonts w:ascii="Times New Roman" w:hAnsi="Times New Roman"/>
          <w:kern w:val="0"/>
          <w:position w:val="-2"/>
          <w:sz w:val="24"/>
          <w:szCs w:val="21"/>
        </w:rPr>
        <w:t>法定</w:t>
      </w:r>
      <w:r>
        <w:rPr>
          <w:rFonts w:ascii="Times New Roman" w:hAnsi="Times New Roman"/>
          <w:spacing w:val="-2"/>
          <w:kern w:val="0"/>
          <w:position w:val="-2"/>
          <w:sz w:val="24"/>
          <w:szCs w:val="21"/>
        </w:rPr>
        <w:t>代</w:t>
      </w:r>
      <w:r>
        <w:rPr>
          <w:rFonts w:ascii="Times New Roman" w:hAnsi="Times New Roman"/>
          <w:kern w:val="0"/>
          <w:position w:val="-2"/>
          <w:sz w:val="24"/>
          <w:szCs w:val="21"/>
        </w:rPr>
        <w:t>表</w:t>
      </w:r>
      <w:r>
        <w:rPr>
          <w:rFonts w:ascii="Times New Roman" w:hAnsi="Times New Roman"/>
          <w:spacing w:val="-2"/>
          <w:kern w:val="0"/>
          <w:position w:val="-2"/>
          <w:sz w:val="24"/>
          <w:szCs w:val="21"/>
        </w:rPr>
        <w:t>人</w:t>
      </w:r>
      <w:r>
        <w:rPr>
          <w:rFonts w:ascii="Times New Roman" w:hAnsi="Times New Roman"/>
          <w:kern w:val="0"/>
          <w:position w:val="-2"/>
          <w:sz w:val="24"/>
          <w:szCs w:val="21"/>
        </w:rPr>
        <w:t>或</w:t>
      </w:r>
      <w:r>
        <w:rPr>
          <w:rFonts w:ascii="Times New Roman" w:hAnsi="Times New Roman"/>
          <w:spacing w:val="-2"/>
          <w:kern w:val="0"/>
          <w:position w:val="-2"/>
          <w:sz w:val="24"/>
          <w:szCs w:val="21"/>
        </w:rPr>
        <w:t>委</w:t>
      </w:r>
      <w:r>
        <w:rPr>
          <w:rFonts w:ascii="Times New Roman" w:hAnsi="Times New Roman"/>
          <w:kern w:val="0"/>
          <w:position w:val="-2"/>
          <w:sz w:val="24"/>
          <w:szCs w:val="21"/>
        </w:rPr>
        <w:t>托</w:t>
      </w:r>
      <w:r>
        <w:rPr>
          <w:rFonts w:ascii="Times New Roman" w:hAnsi="Times New Roman"/>
          <w:spacing w:val="-2"/>
          <w:kern w:val="0"/>
          <w:position w:val="-2"/>
          <w:sz w:val="24"/>
          <w:szCs w:val="21"/>
        </w:rPr>
        <w:t>代</w:t>
      </w:r>
      <w:r>
        <w:rPr>
          <w:rFonts w:ascii="Times New Roman" w:hAnsi="Times New Roman"/>
          <w:kern w:val="0"/>
          <w:position w:val="-2"/>
          <w:sz w:val="24"/>
          <w:szCs w:val="21"/>
        </w:rPr>
        <w:t>理</w:t>
      </w:r>
      <w:r>
        <w:rPr>
          <w:rFonts w:ascii="Times New Roman" w:hAnsi="Times New Roman"/>
          <w:spacing w:val="-2"/>
          <w:kern w:val="0"/>
          <w:position w:val="-2"/>
          <w:sz w:val="24"/>
          <w:szCs w:val="21"/>
        </w:rPr>
        <w:t>人</w:t>
      </w:r>
      <w:r>
        <w:rPr>
          <w:rFonts w:ascii="Times New Roman" w:hAnsi="Times New Roman"/>
          <w:kern w:val="0"/>
          <w:position w:val="-2"/>
          <w:sz w:val="24"/>
          <w:szCs w:val="21"/>
        </w:rPr>
        <w:t>：</w:t>
      </w:r>
      <w:r>
        <w:rPr>
          <w:rFonts w:ascii="Times New Roman" w:hAnsi="Times New Roman"/>
          <w:spacing w:val="-2"/>
          <w:kern w:val="0"/>
          <w:sz w:val="24"/>
          <w:szCs w:val="21"/>
          <w:u w:val="single"/>
        </w:rPr>
        <w:t xml:space="preserve">    </w:t>
      </w:r>
      <w:r>
        <w:rPr>
          <w:rFonts w:ascii="Times New Roman" w:hAnsi="Times New Roman"/>
          <w:kern w:val="0"/>
          <w:position w:val="-2"/>
          <w:sz w:val="24"/>
          <w:szCs w:val="21"/>
        </w:rPr>
        <w:t>（</w:t>
      </w:r>
      <w:r>
        <w:rPr>
          <w:rFonts w:ascii="Times New Roman" w:hAnsi="Times New Roman"/>
          <w:spacing w:val="-2"/>
          <w:kern w:val="0"/>
          <w:position w:val="-2"/>
          <w:sz w:val="24"/>
          <w:szCs w:val="21"/>
        </w:rPr>
        <w:t>签</w:t>
      </w:r>
      <w:r>
        <w:rPr>
          <w:rFonts w:ascii="Times New Roman" w:hAnsi="Times New Roman"/>
          <w:kern w:val="0"/>
          <w:position w:val="-2"/>
          <w:sz w:val="24"/>
          <w:szCs w:val="21"/>
        </w:rPr>
        <w:t>字）</w:t>
      </w:r>
    </w:p>
    <w:p w14:paraId="1AA93BA4">
      <w:pPr>
        <w:tabs>
          <w:tab w:val="left" w:pos="4280"/>
          <w:tab w:val="left" w:pos="8740"/>
        </w:tabs>
        <w:autoSpaceDE w:val="0"/>
        <w:autoSpaceDN w:val="0"/>
        <w:adjustRightInd w:val="0"/>
        <w:spacing w:after="200" w:line="271" w:lineRule="exact"/>
        <w:ind w:firstLine="3840" w:firstLineChars="1600"/>
        <w:jc w:val="center"/>
        <w:rPr>
          <w:rFonts w:ascii="Times New Roman" w:hAnsi="Times New Roman"/>
          <w:kern w:val="0"/>
          <w:sz w:val="24"/>
          <w:szCs w:val="21"/>
        </w:rPr>
      </w:pPr>
      <w:r>
        <w:rPr>
          <w:rFonts w:ascii="Times New Roman" w:hAnsi="Times New Roman"/>
          <w:kern w:val="0"/>
          <w:position w:val="-2"/>
          <w:sz w:val="24"/>
          <w:szCs w:val="21"/>
        </w:rPr>
        <w:t>地</w:t>
      </w:r>
      <w:r>
        <w:rPr>
          <w:rFonts w:ascii="Times New Roman" w:hAnsi="Times New Roman"/>
          <w:spacing w:val="-2"/>
          <w:kern w:val="0"/>
          <w:position w:val="-2"/>
          <w:sz w:val="24"/>
          <w:szCs w:val="21"/>
        </w:rPr>
        <w:t>址：</w:t>
      </w:r>
      <w:r>
        <w:rPr>
          <w:rFonts w:ascii="Times New Roman" w:hAnsi="Times New Roman"/>
          <w:spacing w:val="-2"/>
          <w:kern w:val="0"/>
          <w:sz w:val="24"/>
          <w:szCs w:val="21"/>
          <w:u w:val="single"/>
        </w:rPr>
        <w:t xml:space="preserve">                    </w:t>
      </w:r>
    </w:p>
    <w:p w14:paraId="72A625FD">
      <w:pPr>
        <w:tabs>
          <w:tab w:val="left" w:pos="8740"/>
        </w:tabs>
        <w:autoSpaceDE w:val="0"/>
        <w:autoSpaceDN w:val="0"/>
        <w:adjustRightInd w:val="0"/>
        <w:spacing w:after="200" w:line="271" w:lineRule="exact"/>
        <w:ind w:firstLine="3840" w:firstLineChars="1600"/>
        <w:jc w:val="center"/>
        <w:rPr>
          <w:rFonts w:ascii="Times New Roman" w:hAnsi="Times New Roman"/>
          <w:kern w:val="0"/>
          <w:sz w:val="24"/>
          <w:szCs w:val="21"/>
        </w:rPr>
      </w:pPr>
      <w:r>
        <w:rPr>
          <w:rFonts w:ascii="Times New Roman" w:hAnsi="Times New Roman"/>
          <w:kern w:val="0"/>
          <w:position w:val="-2"/>
          <w:sz w:val="24"/>
          <w:szCs w:val="21"/>
        </w:rPr>
        <w:t>邮政</w:t>
      </w:r>
      <w:r>
        <w:rPr>
          <w:rFonts w:ascii="Times New Roman" w:hAnsi="Times New Roman"/>
          <w:spacing w:val="-2"/>
          <w:kern w:val="0"/>
          <w:position w:val="-2"/>
          <w:sz w:val="24"/>
          <w:szCs w:val="21"/>
        </w:rPr>
        <w:t>编</w:t>
      </w:r>
      <w:r>
        <w:rPr>
          <w:rFonts w:ascii="Times New Roman" w:hAnsi="Times New Roman"/>
          <w:kern w:val="0"/>
          <w:position w:val="-2"/>
          <w:sz w:val="24"/>
          <w:szCs w:val="21"/>
        </w:rPr>
        <w:t>码</w:t>
      </w:r>
      <w:r>
        <w:rPr>
          <w:rFonts w:ascii="Times New Roman" w:hAnsi="Times New Roman"/>
          <w:spacing w:val="-2"/>
          <w:kern w:val="0"/>
          <w:position w:val="-2"/>
          <w:sz w:val="24"/>
          <w:szCs w:val="21"/>
        </w:rPr>
        <w:t>：</w:t>
      </w:r>
      <w:r>
        <w:rPr>
          <w:rFonts w:ascii="Times New Roman" w:hAnsi="Times New Roman"/>
          <w:spacing w:val="-2"/>
          <w:kern w:val="0"/>
          <w:sz w:val="24"/>
          <w:szCs w:val="21"/>
          <w:u w:val="single"/>
        </w:rPr>
        <w:t xml:space="preserve">                   </w:t>
      </w:r>
    </w:p>
    <w:p w14:paraId="3F5EA623">
      <w:pPr>
        <w:tabs>
          <w:tab w:val="left" w:pos="4280"/>
          <w:tab w:val="left" w:pos="8740"/>
        </w:tabs>
        <w:autoSpaceDE w:val="0"/>
        <w:autoSpaceDN w:val="0"/>
        <w:adjustRightInd w:val="0"/>
        <w:spacing w:after="200" w:line="271" w:lineRule="exact"/>
        <w:ind w:firstLine="3840" w:firstLineChars="1600"/>
        <w:jc w:val="center"/>
        <w:rPr>
          <w:rFonts w:ascii="Times New Roman" w:hAnsi="Times New Roman"/>
          <w:kern w:val="0"/>
          <w:sz w:val="24"/>
          <w:szCs w:val="21"/>
        </w:rPr>
      </w:pPr>
      <w:r>
        <w:rPr>
          <w:rFonts w:ascii="Times New Roman" w:hAnsi="Times New Roman"/>
          <w:kern w:val="0"/>
          <w:position w:val="-2"/>
          <w:sz w:val="24"/>
          <w:szCs w:val="21"/>
        </w:rPr>
        <w:t>电</w:t>
      </w:r>
      <w:r>
        <w:rPr>
          <w:rFonts w:ascii="Times New Roman" w:hAnsi="Times New Roman"/>
          <w:spacing w:val="-2"/>
          <w:kern w:val="0"/>
          <w:position w:val="-2"/>
          <w:sz w:val="24"/>
          <w:szCs w:val="21"/>
        </w:rPr>
        <w:t>话</w:t>
      </w:r>
      <w:r>
        <w:rPr>
          <w:rFonts w:ascii="Times New Roman" w:hAnsi="Times New Roman"/>
          <w:kern w:val="0"/>
          <w:position w:val="-2"/>
          <w:sz w:val="24"/>
          <w:szCs w:val="21"/>
        </w:rPr>
        <w:t>：</w:t>
      </w:r>
      <w:r>
        <w:rPr>
          <w:rFonts w:ascii="Times New Roman" w:hAnsi="Times New Roman"/>
          <w:spacing w:val="-2"/>
          <w:kern w:val="0"/>
          <w:sz w:val="24"/>
          <w:szCs w:val="21"/>
          <w:u w:val="single"/>
        </w:rPr>
        <w:t xml:space="preserve">                     </w:t>
      </w:r>
    </w:p>
    <w:p w14:paraId="59D45243">
      <w:pPr>
        <w:tabs>
          <w:tab w:val="left" w:pos="6420"/>
          <w:tab w:val="left" w:pos="7480"/>
          <w:tab w:val="left" w:pos="8520"/>
        </w:tabs>
        <w:autoSpaceDE w:val="0"/>
        <w:autoSpaceDN w:val="0"/>
        <w:adjustRightInd w:val="0"/>
        <w:spacing w:after="200" w:line="296" w:lineRule="exact"/>
        <w:ind w:firstLine="3776" w:firstLineChars="1600"/>
        <w:jc w:val="right"/>
        <w:rPr>
          <w:rFonts w:ascii="Times New Roman" w:hAnsi="Times New Roman"/>
          <w:kern w:val="0"/>
          <w:sz w:val="24"/>
          <w:szCs w:val="21"/>
        </w:rPr>
      </w:pPr>
      <w:r>
        <w:rPr>
          <w:rFonts w:ascii="Times New Roman" w:hAnsi="Times New Roman"/>
          <w:spacing w:val="-2"/>
          <w:kern w:val="0"/>
          <w:sz w:val="24"/>
          <w:szCs w:val="21"/>
          <w:u w:val="single"/>
        </w:rPr>
        <w:t xml:space="preserve">     </w:t>
      </w:r>
      <w:r>
        <w:rPr>
          <w:rFonts w:ascii="Times New Roman" w:hAnsi="Times New Roman"/>
          <w:spacing w:val="-2"/>
          <w:kern w:val="0"/>
          <w:sz w:val="24"/>
          <w:szCs w:val="21"/>
        </w:rPr>
        <w:t>年</w:t>
      </w:r>
      <w:r>
        <w:rPr>
          <w:rFonts w:ascii="Times New Roman" w:hAnsi="Times New Roman"/>
          <w:spacing w:val="-2"/>
          <w:kern w:val="0"/>
          <w:sz w:val="24"/>
          <w:szCs w:val="21"/>
          <w:u w:val="single"/>
        </w:rPr>
        <w:t xml:space="preserve">     </w:t>
      </w:r>
      <w:r>
        <w:rPr>
          <w:rFonts w:ascii="Times New Roman" w:hAnsi="Times New Roman"/>
          <w:kern w:val="0"/>
          <w:sz w:val="24"/>
          <w:szCs w:val="21"/>
        </w:rPr>
        <w:t>月</w:t>
      </w:r>
      <w:r>
        <w:rPr>
          <w:rFonts w:ascii="Times New Roman" w:hAnsi="Times New Roman"/>
          <w:spacing w:val="-2"/>
          <w:kern w:val="0"/>
          <w:sz w:val="24"/>
          <w:szCs w:val="21"/>
          <w:u w:val="single"/>
        </w:rPr>
        <w:t xml:space="preserve">     </w:t>
      </w:r>
      <w:r>
        <w:rPr>
          <w:rFonts w:ascii="Times New Roman" w:hAnsi="Times New Roman"/>
          <w:kern w:val="0"/>
          <w:sz w:val="24"/>
          <w:szCs w:val="21"/>
        </w:rPr>
        <w:t>日</w:t>
      </w:r>
    </w:p>
    <w:p w14:paraId="37870C54">
      <w:pPr>
        <w:rPr>
          <w:rFonts w:ascii="Times New Roman" w:hAnsi="Times New Roman"/>
          <w:sz w:val="24"/>
          <w:szCs w:val="24"/>
        </w:rPr>
      </w:pPr>
      <w:r>
        <w:rPr>
          <w:rFonts w:ascii="Times New Roman" w:hAnsi="Times New Roman"/>
          <w:sz w:val="24"/>
          <w:szCs w:val="21"/>
        </w:rPr>
        <w:t>备注：投标人采用保函形式提交投标保证金的，可采用银行提供的保函格式，但保函担保的内容、金额、期限不得背离招标文件约定的实质性内容。</w:t>
      </w:r>
    </w:p>
    <w:bookmarkEnd w:id="316"/>
    <w:bookmarkEnd w:id="317"/>
    <w:bookmarkEnd w:id="318"/>
    <w:bookmarkEnd w:id="319"/>
    <w:p w14:paraId="32F78487">
      <w:pPr>
        <w:widowControl w:val="0"/>
        <w:spacing w:line="400" w:lineRule="exact"/>
        <w:jc w:val="both"/>
        <w:rPr>
          <w:rFonts w:ascii="Times New Roman" w:hAnsi="Times New Roman" w:eastAsia="宋体" w:cs="Times New Roman"/>
          <w:color w:val="FF0000"/>
          <w:kern w:val="2"/>
          <w:sz w:val="24"/>
          <w:szCs w:val="21"/>
          <w:lang w:val="en-US" w:eastAsia="zh-CN" w:bidi="ar-SA"/>
        </w:rPr>
      </w:pPr>
    </w:p>
    <w:p w14:paraId="05DCE082">
      <w:pPr>
        <w:widowControl w:val="0"/>
        <w:spacing w:line="394" w:lineRule="exact"/>
        <w:ind w:firstLine="630" w:firstLineChars="300"/>
        <w:jc w:val="both"/>
        <w:rPr>
          <w:rFonts w:ascii="Times New Roman" w:hAnsi="Times New Roman" w:eastAsia="宋体" w:cs="Times New Roman"/>
          <w:bCs/>
          <w:kern w:val="2"/>
          <w:sz w:val="21"/>
          <w:szCs w:val="21"/>
          <w:lang w:val="en-US" w:eastAsia="zh-CN" w:bidi="ar-SA"/>
        </w:rPr>
      </w:pPr>
    </w:p>
    <w:p w14:paraId="6BBA5116">
      <w:pPr>
        <w:widowControl/>
        <w:jc w:val="left"/>
        <w:outlineLvl w:val="1"/>
        <w:rPr>
          <w:rFonts w:ascii="黑体" w:hAnsi="黑体" w:eastAsia="黑体" w:cs="黑体"/>
          <w:kern w:val="0"/>
          <w:sz w:val="32"/>
          <w:szCs w:val="24"/>
          <w:lang w:eastAsia="en-US"/>
        </w:rPr>
      </w:pPr>
      <w:r>
        <w:br w:type="page"/>
      </w:r>
      <w:bookmarkStart w:id="320" w:name="_Toc256000044"/>
      <w:bookmarkStart w:id="321" w:name="_Toc11021"/>
      <w:bookmarkStart w:id="322" w:name="_Toc16377"/>
      <w:bookmarkStart w:id="323" w:name="_Toc4721"/>
      <w:r>
        <w:rPr>
          <w:rFonts w:ascii="黑体" w:hAnsi="黑体" w:eastAsia="黑体" w:cs="黑体"/>
          <w:kern w:val="0"/>
          <w:sz w:val="32"/>
          <w:szCs w:val="24"/>
          <w:lang w:eastAsia="en-US"/>
        </w:rPr>
        <w:t>四、联合体协议书（如有）</w:t>
      </w:r>
    </w:p>
    <w:p w14:paraId="3E537D36">
      <w:r>
        <w:rPr>
          <w:rFonts w:ascii="Times New Roman" w:hAnsi="Times New Roman"/>
          <w:sz w:val="24"/>
          <w:szCs w:val="24"/>
        </w:rPr>
        <w:t>（本项目不适用）</w:t>
      </w:r>
    </w:p>
    <w:bookmarkEnd w:id="320"/>
    <w:bookmarkEnd w:id="321"/>
    <w:bookmarkEnd w:id="322"/>
    <w:bookmarkEnd w:id="323"/>
    <w:p w14:paraId="7D8764BE">
      <w:pPr>
        <w:widowControl/>
        <w:spacing w:line="400" w:lineRule="exact"/>
        <w:ind w:left="525" w:hanging="525" w:hangingChars="250"/>
        <w:jc w:val="left"/>
        <w:rPr>
          <w:rFonts w:ascii="Times New Roman" w:hAnsi="Times New Roman"/>
          <w:kern w:val="0"/>
          <w:szCs w:val="21"/>
        </w:rPr>
      </w:pPr>
      <w:bookmarkStart w:id="324" w:name="_Toc256000045"/>
    </w:p>
    <w:p w14:paraId="0879C80A">
      <w:pPr>
        <w:widowControl/>
        <w:spacing w:line="400" w:lineRule="exact"/>
        <w:ind w:left="2940"/>
        <w:jc w:val="left"/>
        <w:rPr>
          <w:rFonts w:ascii="Times New Roman" w:hAnsi="Times New Roman"/>
          <w:kern w:val="0"/>
        </w:rPr>
      </w:pPr>
      <w:r>
        <w:rPr>
          <w:rFonts w:ascii="Times New Roman" w:hAnsi="Times New Roman"/>
          <w:kern w:val="0"/>
        </w:rPr>
        <w:br w:type="page"/>
      </w:r>
    </w:p>
    <w:p w14:paraId="33B79279">
      <w:pPr>
        <w:widowControl/>
        <w:jc w:val="left"/>
        <w:outlineLvl w:val="1"/>
        <w:rPr>
          <w:rFonts w:ascii="黑体" w:hAnsi="黑体" w:eastAsia="黑体" w:cs="黑体"/>
          <w:kern w:val="0"/>
          <w:sz w:val="32"/>
          <w:szCs w:val="24"/>
          <w:lang w:eastAsia="en-US"/>
        </w:rPr>
      </w:pPr>
      <w:r>
        <w:rPr>
          <w:rFonts w:ascii="黑体" w:hAnsi="黑体" w:eastAsia="黑体" w:cs="黑体"/>
          <w:kern w:val="0"/>
          <w:sz w:val="32"/>
          <w:szCs w:val="24"/>
          <w:lang w:eastAsia="en-US"/>
        </w:rPr>
        <w:t>五、拟分包计划表（适用于非政府采购与工程建设有关的服务）</w:t>
      </w:r>
    </w:p>
    <w:p w14:paraId="6EA1D206">
      <w:r>
        <w:rPr>
          <w:rFonts w:ascii="Times New Roman" w:hAnsi="Times New Roman"/>
          <w:sz w:val="24"/>
          <w:szCs w:val="24"/>
        </w:rPr>
        <w:t>（本项目不适用）</w:t>
      </w:r>
    </w:p>
    <w:bookmarkEnd w:id="324"/>
    <w:p w14:paraId="37F8B853">
      <w:pPr>
        <w:pStyle w:val="51"/>
        <w:jc w:val="center"/>
        <w:outlineLvl w:val="1"/>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p>
    <w:p w14:paraId="6F61D253">
      <w:pPr>
        <w:widowControl/>
        <w:jc w:val="left"/>
        <w:outlineLvl w:val="1"/>
        <w:rPr>
          <w:rFonts w:ascii="黑体" w:hAnsi="黑体" w:eastAsia="黑体" w:cs="黑体"/>
          <w:kern w:val="0"/>
          <w:sz w:val="32"/>
          <w:szCs w:val="24"/>
          <w:lang w:eastAsia="en-US"/>
        </w:rPr>
      </w:pPr>
      <w:r>
        <w:rPr>
          <w:rFonts w:ascii="黑体" w:hAnsi="黑体" w:eastAsia="黑体" w:cs="黑体"/>
          <w:kern w:val="0"/>
          <w:sz w:val="32"/>
          <w:szCs w:val="24"/>
          <w:lang w:eastAsia="en-US"/>
        </w:rPr>
        <w:t>五、分包意向协议书（适用于政府采购与工程建设有关的服务）</w:t>
      </w:r>
    </w:p>
    <w:p w14:paraId="7DBE85B6">
      <w:r>
        <w:rPr>
          <w:rFonts w:ascii="Times New Roman" w:hAnsi="Times New Roman"/>
          <w:sz w:val="24"/>
          <w:szCs w:val="24"/>
        </w:rPr>
        <w:t>（本项目不适用）</w:t>
      </w:r>
    </w:p>
    <w:p w14:paraId="1639BB61">
      <w:pPr>
        <w:pStyle w:val="51"/>
        <w:jc w:val="center"/>
        <w:outlineLvl w:val="1"/>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p>
    <w:p w14:paraId="7AE6A45A">
      <w:pPr>
        <w:widowControl/>
        <w:jc w:val="left"/>
        <w:outlineLvl w:val="1"/>
        <w:rPr>
          <w:rFonts w:ascii="黑体" w:hAnsi="黑体" w:eastAsia="黑体" w:cs="黑体"/>
          <w:kern w:val="0"/>
          <w:sz w:val="32"/>
          <w:szCs w:val="24"/>
          <w:lang w:eastAsia="en-US"/>
        </w:rPr>
      </w:pPr>
      <w:r>
        <w:rPr>
          <w:rFonts w:ascii="黑体" w:hAnsi="黑体" w:eastAsia="黑体" w:cs="黑体"/>
          <w:kern w:val="0"/>
          <w:sz w:val="32"/>
          <w:szCs w:val="24"/>
          <w:lang w:eastAsia="en-US"/>
        </w:rPr>
        <w:t>六、中小企业声明函（适用于政府采购与工程建设有关的服务）</w:t>
      </w:r>
    </w:p>
    <w:p w14:paraId="46437F69">
      <w:r>
        <w:rPr>
          <w:rFonts w:ascii="Times New Roman" w:hAnsi="Times New Roman"/>
          <w:sz w:val="24"/>
          <w:szCs w:val="24"/>
        </w:rPr>
        <w:t>（本项目不适用）</w:t>
      </w:r>
    </w:p>
    <w:p w14:paraId="3AF5C739">
      <w:pPr>
        <w:widowControl w:val="0"/>
        <w:spacing w:line="400" w:lineRule="exact"/>
        <w:jc w:val="both"/>
        <w:rPr>
          <w:rFonts w:ascii="Times New Roman" w:hAnsi="Times New Roman" w:eastAsia="宋体" w:cs="Times New Roman"/>
          <w:color w:val="FF0000"/>
          <w:kern w:val="2"/>
          <w:sz w:val="24"/>
          <w:szCs w:val="21"/>
          <w:lang w:val="en-US" w:eastAsia="zh-CN" w:bidi="ar-SA"/>
        </w:rPr>
      </w:pPr>
      <w:r>
        <w:br w:type="page"/>
      </w:r>
    </w:p>
    <w:p w14:paraId="1B91BEFA">
      <w:pPr>
        <w:widowControl w:val="0"/>
        <w:spacing w:line="400" w:lineRule="exact"/>
        <w:ind w:left="870" w:leftChars="300" w:hanging="240" w:hangingChars="100"/>
        <w:jc w:val="both"/>
        <w:rPr>
          <w:rFonts w:ascii="Times New Roman" w:hAnsi="Times New Roman" w:eastAsia="宋体" w:cs="Times New Roman"/>
          <w:color w:val="FF0000"/>
          <w:kern w:val="2"/>
          <w:sz w:val="24"/>
          <w:szCs w:val="21"/>
          <w:lang w:val="en-US" w:eastAsia="zh-CN" w:bidi="ar-SA"/>
        </w:rPr>
      </w:pPr>
    </w:p>
    <w:p w14:paraId="52785E6F">
      <w:pPr>
        <w:pStyle w:val="52"/>
        <w:jc w:val="both"/>
        <w:outlineLvl w:val="1"/>
      </w:pPr>
      <w:bookmarkStart w:id="325" w:name="_Toc23311"/>
      <w:bookmarkStart w:id="326" w:name="_Toc4892"/>
      <w:bookmarkStart w:id="327" w:name="_Toc2633"/>
      <w:bookmarkStart w:id="328" w:name="_Toc256000049"/>
      <w:r>
        <w:rPr>
          <w:rFonts w:hint="default" w:ascii="Times New Roman" w:hAnsi="Times New Roman" w:eastAsia="黑体" w:cs="Times New Roman"/>
          <w:sz w:val="32"/>
          <w:lang w:val="en-US" w:eastAsia="zh-CN"/>
        </w:rPr>
        <w:t>七</w:t>
      </w:r>
      <w:r>
        <w:rPr>
          <w:rFonts w:eastAsia="黑体"/>
          <w:sz w:val="32"/>
        </w:rPr>
        <w:t>、资格审查资料</w:t>
      </w:r>
      <w:bookmarkEnd w:id="325"/>
      <w:bookmarkEnd w:id="326"/>
      <w:bookmarkEnd w:id="327"/>
      <w:bookmarkEnd w:id="328"/>
    </w:p>
    <w:p w14:paraId="2D47E271">
      <w:pPr>
        <w:widowControl w:val="0"/>
        <w:spacing w:before="260" w:after="260" w:line="413" w:lineRule="auto"/>
        <w:jc w:val="center"/>
        <w:outlineLvl w:val="2"/>
        <w:rPr>
          <w:rFonts w:ascii="Times New Roman" w:hAnsi="Times New Roman" w:eastAsia="Times New Roman" w:cs="Times New Roman"/>
          <w:kern w:val="2"/>
          <w:sz w:val="24"/>
          <w:szCs w:val="24"/>
          <w:lang w:bidi="ar-SA"/>
        </w:rPr>
      </w:pPr>
      <w:r>
        <w:rPr>
          <w:rFonts w:ascii="Times New Roman" w:hAnsi="Times New Roman" w:eastAsia="宋体" w:cs="Times New Roman"/>
          <w:kern w:val="2"/>
          <w:sz w:val="21"/>
          <w:szCs w:val="22"/>
          <w:lang w:bidi="ar-SA"/>
        </w:rPr>
        <w:br w:type="page"/>
      </w:r>
      <w:bookmarkStart w:id="329" w:name="_Toc9210"/>
      <w:bookmarkStart w:id="330" w:name="_Toc23627"/>
      <w:r>
        <w:rPr>
          <w:rFonts w:ascii="Times New Roman" w:hAnsi="Times New Roman" w:eastAsia="黑体" w:cs="Times New Roman"/>
          <w:bCs/>
          <w:kern w:val="2"/>
          <w:sz w:val="28"/>
          <w:szCs w:val="32"/>
          <w:lang w:val="en-US" w:eastAsia="zh-CN" w:bidi="ar-SA"/>
        </w:rPr>
        <w:t>（一）投标人基本情况表</w:t>
      </w:r>
      <w:bookmarkEnd w:id="329"/>
      <w:bookmarkEnd w:id="330"/>
    </w:p>
    <w:p w14:paraId="55257805">
      <w:pPr>
        <w:pStyle w:val="7"/>
        <w:spacing w:before="41" w:after="12"/>
        <w:ind w:right="93"/>
      </w:pPr>
      <w:r>
        <w:rPr>
          <w:spacing w:val="-1"/>
        </w:rPr>
        <w:t>(一)投标人基本情况表</w:t>
      </w:r>
    </w:p>
    <w:tbl>
      <w:tblPr>
        <w:tblStyle w:val="2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48"/>
        <w:gridCol w:w="1066"/>
        <w:gridCol w:w="1126"/>
        <w:gridCol w:w="1412"/>
        <w:gridCol w:w="451"/>
        <w:gridCol w:w="961"/>
        <w:gridCol w:w="902"/>
        <w:gridCol w:w="300"/>
        <w:gridCol w:w="1111"/>
      </w:tblGrid>
      <w:tr w14:paraId="513C7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0E1C2FCD">
            <w:pPr>
              <w:pStyle w:val="37"/>
              <w:spacing w:before="116" w:line="300" w:lineRule="exact"/>
              <w:ind w:left="46" w:right="1"/>
              <w:jc w:val="center"/>
              <w:rPr>
                <w:sz w:val="24"/>
              </w:rPr>
            </w:pPr>
            <w:r>
              <w:rPr>
                <w:spacing w:val="-2"/>
                <w:sz w:val="24"/>
              </w:rPr>
              <w:t>投标人名称</w:t>
            </w:r>
          </w:p>
        </w:tc>
        <w:tc>
          <w:tcPr>
            <w:tcW w:w="7329" w:type="dxa"/>
            <w:gridSpan w:val="8"/>
          </w:tcPr>
          <w:p w14:paraId="122486C7">
            <w:pPr>
              <w:pStyle w:val="37"/>
              <w:rPr>
                <w:rFonts w:ascii="Times New Roman"/>
                <w:sz w:val="22"/>
              </w:rPr>
            </w:pPr>
          </w:p>
        </w:tc>
      </w:tr>
      <w:tr w14:paraId="468C7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39289A15">
            <w:pPr>
              <w:pStyle w:val="37"/>
              <w:spacing w:before="116" w:line="300" w:lineRule="exact"/>
              <w:ind w:left="46" w:right="1"/>
              <w:jc w:val="center"/>
              <w:rPr>
                <w:sz w:val="24"/>
              </w:rPr>
            </w:pPr>
            <w:r>
              <w:rPr>
                <w:spacing w:val="-4"/>
                <w:sz w:val="24"/>
              </w:rPr>
              <w:t>注册地址</w:t>
            </w:r>
          </w:p>
        </w:tc>
        <w:tc>
          <w:tcPr>
            <w:tcW w:w="3604" w:type="dxa"/>
            <w:gridSpan w:val="3"/>
          </w:tcPr>
          <w:p w14:paraId="6B618D87">
            <w:pPr>
              <w:pStyle w:val="37"/>
              <w:rPr>
                <w:rFonts w:ascii="Times New Roman"/>
                <w:sz w:val="22"/>
              </w:rPr>
            </w:pPr>
          </w:p>
        </w:tc>
        <w:tc>
          <w:tcPr>
            <w:tcW w:w="1412" w:type="dxa"/>
            <w:gridSpan w:val="2"/>
          </w:tcPr>
          <w:p w14:paraId="34F3DE59">
            <w:pPr>
              <w:pStyle w:val="37"/>
              <w:spacing w:before="116" w:line="300" w:lineRule="exact"/>
              <w:ind w:left="217"/>
              <w:rPr>
                <w:sz w:val="24"/>
              </w:rPr>
            </w:pPr>
            <w:r>
              <w:rPr>
                <w:spacing w:val="-3"/>
                <w:sz w:val="24"/>
              </w:rPr>
              <w:t>邮政编码</w:t>
            </w:r>
          </w:p>
        </w:tc>
        <w:tc>
          <w:tcPr>
            <w:tcW w:w="2313" w:type="dxa"/>
            <w:gridSpan w:val="3"/>
          </w:tcPr>
          <w:p w14:paraId="0BE4F1AE">
            <w:pPr>
              <w:pStyle w:val="37"/>
              <w:rPr>
                <w:rFonts w:ascii="Times New Roman"/>
                <w:sz w:val="22"/>
              </w:rPr>
            </w:pPr>
          </w:p>
        </w:tc>
      </w:tr>
      <w:tr w14:paraId="2F133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vMerge w:val="restart"/>
          </w:tcPr>
          <w:p w14:paraId="103272CF">
            <w:pPr>
              <w:pStyle w:val="37"/>
              <w:spacing w:before="29"/>
              <w:rPr>
                <w:sz w:val="24"/>
              </w:rPr>
            </w:pPr>
          </w:p>
          <w:p w14:paraId="524E4365">
            <w:pPr>
              <w:pStyle w:val="37"/>
              <w:ind w:left="608"/>
              <w:rPr>
                <w:sz w:val="24"/>
              </w:rPr>
            </w:pPr>
            <w:r>
              <w:rPr>
                <w:spacing w:val="-3"/>
                <w:sz w:val="24"/>
              </w:rPr>
              <w:t>联系方式</w:t>
            </w:r>
          </w:p>
        </w:tc>
        <w:tc>
          <w:tcPr>
            <w:tcW w:w="1066" w:type="dxa"/>
          </w:tcPr>
          <w:p w14:paraId="15B68A57">
            <w:pPr>
              <w:pStyle w:val="37"/>
              <w:spacing w:before="115" w:line="300" w:lineRule="exact"/>
              <w:ind w:left="45"/>
              <w:jc w:val="center"/>
              <w:rPr>
                <w:sz w:val="24"/>
              </w:rPr>
            </w:pPr>
            <w:r>
              <w:rPr>
                <w:spacing w:val="-4"/>
                <w:sz w:val="24"/>
              </w:rPr>
              <w:t>联系人</w:t>
            </w:r>
          </w:p>
        </w:tc>
        <w:tc>
          <w:tcPr>
            <w:tcW w:w="2538" w:type="dxa"/>
            <w:gridSpan w:val="2"/>
          </w:tcPr>
          <w:p w14:paraId="14F97F17">
            <w:pPr>
              <w:pStyle w:val="37"/>
              <w:rPr>
                <w:rFonts w:ascii="Times New Roman"/>
                <w:sz w:val="22"/>
              </w:rPr>
            </w:pPr>
          </w:p>
        </w:tc>
        <w:tc>
          <w:tcPr>
            <w:tcW w:w="1412" w:type="dxa"/>
            <w:gridSpan w:val="2"/>
          </w:tcPr>
          <w:p w14:paraId="1C74110D">
            <w:pPr>
              <w:pStyle w:val="37"/>
              <w:spacing w:before="115" w:line="300" w:lineRule="exact"/>
              <w:ind w:left="398"/>
              <w:rPr>
                <w:sz w:val="24"/>
              </w:rPr>
            </w:pPr>
            <w:r>
              <w:rPr>
                <w:spacing w:val="-4"/>
                <w:sz w:val="24"/>
              </w:rPr>
              <w:t>电 话</w:t>
            </w:r>
          </w:p>
        </w:tc>
        <w:tc>
          <w:tcPr>
            <w:tcW w:w="2313" w:type="dxa"/>
            <w:gridSpan w:val="3"/>
          </w:tcPr>
          <w:p w14:paraId="70EFAD2D">
            <w:pPr>
              <w:pStyle w:val="37"/>
              <w:rPr>
                <w:rFonts w:ascii="Times New Roman"/>
                <w:sz w:val="22"/>
              </w:rPr>
            </w:pPr>
          </w:p>
        </w:tc>
      </w:tr>
      <w:tr w14:paraId="193CB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vMerge w:val="continue"/>
            <w:tcBorders>
              <w:top w:val="nil"/>
            </w:tcBorders>
          </w:tcPr>
          <w:p w14:paraId="45865803">
            <w:pPr>
              <w:rPr>
                <w:sz w:val="2"/>
                <w:szCs w:val="2"/>
              </w:rPr>
            </w:pPr>
          </w:p>
        </w:tc>
        <w:tc>
          <w:tcPr>
            <w:tcW w:w="1066" w:type="dxa"/>
          </w:tcPr>
          <w:p w14:paraId="6351D3A2">
            <w:pPr>
              <w:pStyle w:val="37"/>
              <w:spacing w:before="115" w:line="299" w:lineRule="exact"/>
              <w:ind w:left="45" w:right="1"/>
              <w:jc w:val="center"/>
              <w:rPr>
                <w:sz w:val="24"/>
              </w:rPr>
            </w:pPr>
            <w:r>
              <w:rPr>
                <w:sz w:val="24"/>
              </w:rPr>
              <w:t>传</w:t>
            </w:r>
            <w:r>
              <w:rPr>
                <w:spacing w:val="60"/>
                <w:w w:val="150"/>
                <w:sz w:val="24"/>
              </w:rPr>
              <w:t xml:space="preserve"> </w:t>
            </w:r>
            <w:r>
              <w:rPr>
                <w:spacing w:val="-10"/>
                <w:sz w:val="24"/>
              </w:rPr>
              <w:t>真</w:t>
            </w:r>
          </w:p>
        </w:tc>
        <w:tc>
          <w:tcPr>
            <w:tcW w:w="2538" w:type="dxa"/>
            <w:gridSpan w:val="2"/>
          </w:tcPr>
          <w:p w14:paraId="53CD428B">
            <w:pPr>
              <w:pStyle w:val="37"/>
              <w:rPr>
                <w:rFonts w:ascii="Times New Roman"/>
                <w:sz w:val="22"/>
              </w:rPr>
            </w:pPr>
          </w:p>
        </w:tc>
        <w:tc>
          <w:tcPr>
            <w:tcW w:w="1412" w:type="dxa"/>
            <w:gridSpan w:val="2"/>
          </w:tcPr>
          <w:p w14:paraId="21739FC6">
            <w:pPr>
              <w:pStyle w:val="37"/>
              <w:spacing w:before="115" w:line="299" w:lineRule="exact"/>
              <w:ind w:left="217"/>
              <w:rPr>
                <w:sz w:val="24"/>
              </w:rPr>
            </w:pPr>
            <w:r>
              <w:rPr>
                <w:spacing w:val="-3"/>
                <w:sz w:val="24"/>
              </w:rPr>
              <w:t>电子邮件</w:t>
            </w:r>
          </w:p>
        </w:tc>
        <w:tc>
          <w:tcPr>
            <w:tcW w:w="2313" w:type="dxa"/>
            <w:gridSpan w:val="3"/>
          </w:tcPr>
          <w:p w14:paraId="6F206ED9">
            <w:pPr>
              <w:pStyle w:val="37"/>
              <w:rPr>
                <w:rFonts w:ascii="Times New Roman"/>
                <w:sz w:val="22"/>
              </w:rPr>
            </w:pPr>
          </w:p>
        </w:tc>
      </w:tr>
      <w:tr w14:paraId="37F7A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40F67C7F">
            <w:pPr>
              <w:pStyle w:val="37"/>
              <w:spacing w:before="116" w:line="300" w:lineRule="exact"/>
              <w:ind w:left="46" w:right="1"/>
              <w:jc w:val="center"/>
              <w:rPr>
                <w:sz w:val="24"/>
              </w:rPr>
            </w:pPr>
            <w:r>
              <w:rPr>
                <w:spacing w:val="-2"/>
                <w:sz w:val="24"/>
              </w:rPr>
              <w:t>法定代表人</w:t>
            </w:r>
          </w:p>
        </w:tc>
        <w:tc>
          <w:tcPr>
            <w:tcW w:w="1066" w:type="dxa"/>
          </w:tcPr>
          <w:p w14:paraId="362EBA40">
            <w:pPr>
              <w:pStyle w:val="37"/>
              <w:spacing w:before="116" w:line="300" w:lineRule="exact"/>
              <w:ind w:left="45"/>
              <w:jc w:val="center"/>
              <w:rPr>
                <w:sz w:val="24"/>
              </w:rPr>
            </w:pPr>
            <w:r>
              <w:rPr>
                <w:spacing w:val="-5"/>
                <w:sz w:val="24"/>
              </w:rPr>
              <w:t>姓名</w:t>
            </w:r>
          </w:p>
        </w:tc>
        <w:tc>
          <w:tcPr>
            <w:tcW w:w="1126" w:type="dxa"/>
          </w:tcPr>
          <w:p w14:paraId="1079A922">
            <w:pPr>
              <w:pStyle w:val="37"/>
              <w:rPr>
                <w:rFonts w:ascii="Times New Roman"/>
                <w:sz w:val="22"/>
              </w:rPr>
            </w:pPr>
          </w:p>
        </w:tc>
        <w:tc>
          <w:tcPr>
            <w:tcW w:w="1412" w:type="dxa"/>
          </w:tcPr>
          <w:p w14:paraId="54B2CDB5">
            <w:pPr>
              <w:pStyle w:val="37"/>
              <w:spacing w:before="116" w:line="300" w:lineRule="exact"/>
              <w:ind w:left="2"/>
              <w:jc w:val="center"/>
              <w:rPr>
                <w:sz w:val="24"/>
              </w:rPr>
            </w:pPr>
            <w:r>
              <w:rPr>
                <w:spacing w:val="-3"/>
                <w:sz w:val="24"/>
              </w:rPr>
              <w:t>技术职称</w:t>
            </w:r>
          </w:p>
        </w:tc>
        <w:tc>
          <w:tcPr>
            <w:tcW w:w="1412" w:type="dxa"/>
            <w:gridSpan w:val="2"/>
          </w:tcPr>
          <w:p w14:paraId="3B389F6B">
            <w:pPr>
              <w:pStyle w:val="37"/>
              <w:rPr>
                <w:rFonts w:ascii="Times New Roman"/>
                <w:sz w:val="22"/>
              </w:rPr>
            </w:pPr>
          </w:p>
        </w:tc>
        <w:tc>
          <w:tcPr>
            <w:tcW w:w="1202" w:type="dxa"/>
            <w:gridSpan w:val="2"/>
          </w:tcPr>
          <w:p w14:paraId="6020CF36">
            <w:pPr>
              <w:pStyle w:val="37"/>
              <w:spacing w:before="116" w:line="300" w:lineRule="exact"/>
              <w:ind w:left="367"/>
              <w:rPr>
                <w:sz w:val="24"/>
              </w:rPr>
            </w:pPr>
            <w:r>
              <w:rPr>
                <w:spacing w:val="-5"/>
                <w:sz w:val="24"/>
              </w:rPr>
              <w:t>电话</w:t>
            </w:r>
          </w:p>
        </w:tc>
        <w:tc>
          <w:tcPr>
            <w:tcW w:w="1111" w:type="dxa"/>
          </w:tcPr>
          <w:p w14:paraId="6EDA4714">
            <w:pPr>
              <w:pStyle w:val="37"/>
              <w:rPr>
                <w:rFonts w:ascii="Times New Roman"/>
                <w:sz w:val="22"/>
              </w:rPr>
            </w:pPr>
          </w:p>
        </w:tc>
      </w:tr>
      <w:tr w14:paraId="532F3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1C96679A">
            <w:pPr>
              <w:pStyle w:val="37"/>
              <w:spacing w:before="116" w:line="299" w:lineRule="exact"/>
              <w:ind w:left="46" w:right="1"/>
              <w:jc w:val="center"/>
              <w:rPr>
                <w:sz w:val="24"/>
              </w:rPr>
            </w:pPr>
            <w:r>
              <w:rPr>
                <w:spacing w:val="-2"/>
                <w:sz w:val="24"/>
              </w:rPr>
              <w:t>技术负责人</w:t>
            </w:r>
          </w:p>
        </w:tc>
        <w:tc>
          <w:tcPr>
            <w:tcW w:w="1066" w:type="dxa"/>
          </w:tcPr>
          <w:p w14:paraId="63ABA149">
            <w:pPr>
              <w:pStyle w:val="37"/>
              <w:spacing w:before="116" w:line="299" w:lineRule="exact"/>
              <w:ind w:left="45"/>
              <w:jc w:val="center"/>
              <w:rPr>
                <w:sz w:val="24"/>
              </w:rPr>
            </w:pPr>
            <w:r>
              <w:rPr>
                <w:spacing w:val="-5"/>
                <w:sz w:val="24"/>
              </w:rPr>
              <w:t>姓名</w:t>
            </w:r>
          </w:p>
        </w:tc>
        <w:tc>
          <w:tcPr>
            <w:tcW w:w="1126" w:type="dxa"/>
          </w:tcPr>
          <w:p w14:paraId="4495A3B0">
            <w:pPr>
              <w:pStyle w:val="37"/>
              <w:rPr>
                <w:rFonts w:ascii="Times New Roman"/>
                <w:sz w:val="22"/>
              </w:rPr>
            </w:pPr>
          </w:p>
        </w:tc>
        <w:tc>
          <w:tcPr>
            <w:tcW w:w="1412" w:type="dxa"/>
          </w:tcPr>
          <w:p w14:paraId="3B9855B9">
            <w:pPr>
              <w:pStyle w:val="37"/>
              <w:spacing w:before="116" w:line="299" w:lineRule="exact"/>
              <w:ind w:left="2"/>
              <w:jc w:val="center"/>
              <w:rPr>
                <w:sz w:val="24"/>
              </w:rPr>
            </w:pPr>
            <w:r>
              <w:rPr>
                <w:spacing w:val="-3"/>
                <w:sz w:val="24"/>
              </w:rPr>
              <w:t>技术职称</w:t>
            </w:r>
          </w:p>
        </w:tc>
        <w:tc>
          <w:tcPr>
            <w:tcW w:w="1412" w:type="dxa"/>
            <w:gridSpan w:val="2"/>
          </w:tcPr>
          <w:p w14:paraId="681129CA">
            <w:pPr>
              <w:pStyle w:val="37"/>
              <w:rPr>
                <w:rFonts w:ascii="Times New Roman"/>
                <w:sz w:val="22"/>
              </w:rPr>
            </w:pPr>
          </w:p>
        </w:tc>
        <w:tc>
          <w:tcPr>
            <w:tcW w:w="1202" w:type="dxa"/>
            <w:gridSpan w:val="2"/>
          </w:tcPr>
          <w:p w14:paraId="4D26AD0B">
            <w:pPr>
              <w:pStyle w:val="37"/>
              <w:spacing w:before="116" w:line="299" w:lineRule="exact"/>
              <w:ind w:left="367"/>
              <w:rPr>
                <w:sz w:val="24"/>
              </w:rPr>
            </w:pPr>
            <w:r>
              <w:rPr>
                <w:spacing w:val="-5"/>
                <w:sz w:val="24"/>
              </w:rPr>
              <w:t>电话</w:t>
            </w:r>
          </w:p>
        </w:tc>
        <w:tc>
          <w:tcPr>
            <w:tcW w:w="1111" w:type="dxa"/>
          </w:tcPr>
          <w:p w14:paraId="1337FD4D">
            <w:pPr>
              <w:pStyle w:val="37"/>
              <w:rPr>
                <w:rFonts w:ascii="Times New Roman"/>
                <w:sz w:val="22"/>
              </w:rPr>
            </w:pPr>
          </w:p>
        </w:tc>
      </w:tr>
      <w:tr w14:paraId="5FDC3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5789F2B7">
            <w:pPr>
              <w:pStyle w:val="37"/>
              <w:spacing w:before="116" w:line="300" w:lineRule="exact"/>
              <w:ind w:left="46"/>
              <w:jc w:val="center"/>
              <w:rPr>
                <w:sz w:val="24"/>
              </w:rPr>
            </w:pPr>
            <w:r>
              <w:rPr>
                <w:spacing w:val="-2"/>
                <w:sz w:val="24"/>
              </w:rPr>
              <w:t>企业资质证书</w:t>
            </w:r>
          </w:p>
        </w:tc>
        <w:tc>
          <w:tcPr>
            <w:tcW w:w="7329" w:type="dxa"/>
            <w:gridSpan w:val="8"/>
          </w:tcPr>
          <w:p w14:paraId="35103591">
            <w:pPr>
              <w:pStyle w:val="37"/>
              <w:tabs>
                <w:tab w:val="left" w:pos="2890"/>
                <w:tab w:val="left" w:pos="5053"/>
              </w:tabs>
              <w:spacing w:before="116" w:line="300" w:lineRule="exact"/>
              <w:ind w:left="247"/>
              <w:rPr>
                <w:sz w:val="24"/>
              </w:rPr>
            </w:pPr>
            <w:r>
              <w:rPr>
                <w:sz w:val="24"/>
              </w:rPr>
              <w:t>类型</w:t>
            </w:r>
            <w:r>
              <w:rPr>
                <w:spacing w:val="-10"/>
                <w:sz w:val="24"/>
              </w:rPr>
              <w:t>：</w:t>
            </w:r>
            <w:r>
              <w:rPr>
                <w:sz w:val="24"/>
              </w:rPr>
              <w:tab/>
            </w:r>
            <w:r>
              <w:rPr>
                <w:sz w:val="24"/>
              </w:rPr>
              <w:t>等级</w:t>
            </w:r>
            <w:r>
              <w:rPr>
                <w:spacing w:val="-10"/>
                <w:sz w:val="24"/>
              </w:rPr>
              <w:t>：</w:t>
            </w:r>
            <w:r>
              <w:rPr>
                <w:sz w:val="24"/>
              </w:rPr>
              <w:tab/>
            </w:r>
            <w:r>
              <w:rPr>
                <w:sz w:val="24"/>
              </w:rPr>
              <w:t>证书号</w:t>
            </w:r>
            <w:r>
              <w:rPr>
                <w:spacing w:val="-10"/>
                <w:sz w:val="24"/>
              </w:rPr>
              <w:t>：</w:t>
            </w:r>
          </w:p>
        </w:tc>
      </w:tr>
      <w:tr w14:paraId="4C15E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41CC94EB">
            <w:pPr>
              <w:pStyle w:val="37"/>
              <w:spacing w:before="115" w:line="300" w:lineRule="exact"/>
              <w:ind w:left="46"/>
              <w:jc w:val="center"/>
              <w:rPr>
                <w:sz w:val="24"/>
              </w:rPr>
            </w:pPr>
            <w:r>
              <w:rPr>
                <w:spacing w:val="-2"/>
                <w:sz w:val="24"/>
              </w:rPr>
              <w:t>统一社会信用代码</w:t>
            </w:r>
          </w:p>
        </w:tc>
        <w:tc>
          <w:tcPr>
            <w:tcW w:w="3604" w:type="dxa"/>
            <w:gridSpan w:val="3"/>
          </w:tcPr>
          <w:p w14:paraId="03AE6670">
            <w:pPr>
              <w:pStyle w:val="37"/>
              <w:rPr>
                <w:rFonts w:ascii="Times New Roman"/>
                <w:sz w:val="22"/>
              </w:rPr>
            </w:pPr>
          </w:p>
        </w:tc>
        <w:tc>
          <w:tcPr>
            <w:tcW w:w="3725" w:type="dxa"/>
            <w:gridSpan w:val="5"/>
          </w:tcPr>
          <w:p w14:paraId="1891B23A">
            <w:pPr>
              <w:pStyle w:val="37"/>
              <w:spacing w:before="115" w:line="300" w:lineRule="exact"/>
              <w:ind w:left="1149"/>
              <w:rPr>
                <w:sz w:val="24"/>
              </w:rPr>
            </w:pPr>
            <w:r>
              <w:rPr>
                <w:spacing w:val="-2"/>
                <w:sz w:val="24"/>
              </w:rPr>
              <w:t>员工总人数：</w:t>
            </w:r>
          </w:p>
        </w:tc>
      </w:tr>
      <w:tr w14:paraId="5ACE8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0FE582E2">
            <w:pPr>
              <w:pStyle w:val="37"/>
              <w:spacing w:before="116" w:line="300" w:lineRule="exact"/>
              <w:ind w:left="46"/>
              <w:jc w:val="center"/>
              <w:rPr>
                <w:sz w:val="24"/>
              </w:rPr>
            </w:pPr>
            <w:r>
              <w:rPr>
                <w:spacing w:val="-3"/>
                <w:sz w:val="24"/>
              </w:rPr>
              <w:t>注册资本</w:t>
            </w:r>
          </w:p>
        </w:tc>
        <w:tc>
          <w:tcPr>
            <w:tcW w:w="3604" w:type="dxa"/>
            <w:gridSpan w:val="3"/>
          </w:tcPr>
          <w:p w14:paraId="74E0FC2B">
            <w:pPr>
              <w:pStyle w:val="37"/>
              <w:rPr>
                <w:rFonts w:ascii="Times New Roman"/>
                <w:sz w:val="22"/>
              </w:rPr>
            </w:pPr>
          </w:p>
        </w:tc>
        <w:tc>
          <w:tcPr>
            <w:tcW w:w="451" w:type="dxa"/>
            <w:vMerge w:val="restart"/>
          </w:tcPr>
          <w:p w14:paraId="00299DD3">
            <w:pPr>
              <w:pStyle w:val="37"/>
              <w:spacing w:before="254"/>
              <w:rPr>
                <w:sz w:val="24"/>
              </w:rPr>
            </w:pPr>
          </w:p>
          <w:p w14:paraId="1FC9AC39">
            <w:pPr>
              <w:pStyle w:val="37"/>
              <w:spacing w:line="345" w:lineRule="auto"/>
              <w:ind w:left="112" w:right="82"/>
              <w:rPr>
                <w:sz w:val="24"/>
              </w:rPr>
            </w:pPr>
            <w:r>
              <w:rPr>
                <w:spacing w:val="-10"/>
                <w:sz w:val="24"/>
              </w:rPr>
              <w:t>其中</w:t>
            </w:r>
          </w:p>
        </w:tc>
        <w:tc>
          <w:tcPr>
            <w:tcW w:w="1863" w:type="dxa"/>
            <w:gridSpan w:val="2"/>
          </w:tcPr>
          <w:p w14:paraId="4903492B">
            <w:pPr>
              <w:pStyle w:val="37"/>
              <w:spacing w:before="116" w:line="300" w:lineRule="exact"/>
              <w:ind w:left="202"/>
              <w:rPr>
                <w:sz w:val="24"/>
              </w:rPr>
            </w:pPr>
            <w:r>
              <w:rPr>
                <w:spacing w:val="-2"/>
                <w:sz w:val="24"/>
              </w:rPr>
              <w:t>高级职称人员</w:t>
            </w:r>
          </w:p>
        </w:tc>
        <w:tc>
          <w:tcPr>
            <w:tcW w:w="1411" w:type="dxa"/>
            <w:gridSpan w:val="2"/>
          </w:tcPr>
          <w:p w14:paraId="5AD9993E">
            <w:pPr>
              <w:pStyle w:val="37"/>
              <w:rPr>
                <w:rFonts w:ascii="Times New Roman"/>
                <w:sz w:val="22"/>
              </w:rPr>
            </w:pPr>
          </w:p>
        </w:tc>
      </w:tr>
      <w:tr w14:paraId="066BF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2D1473B9">
            <w:pPr>
              <w:pStyle w:val="37"/>
              <w:spacing w:before="116" w:line="299" w:lineRule="exact"/>
              <w:ind w:left="46"/>
              <w:jc w:val="center"/>
              <w:rPr>
                <w:sz w:val="24"/>
              </w:rPr>
            </w:pPr>
            <w:r>
              <w:rPr>
                <w:spacing w:val="-3"/>
                <w:sz w:val="24"/>
              </w:rPr>
              <w:t>成立日期</w:t>
            </w:r>
          </w:p>
        </w:tc>
        <w:tc>
          <w:tcPr>
            <w:tcW w:w="3604" w:type="dxa"/>
            <w:gridSpan w:val="3"/>
          </w:tcPr>
          <w:p w14:paraId="4ACB51B8">
            <w:pPr>
              <w:pStyle w:val="37"/>
              <w:rPr>
                <w:rFonts w:ascii="Times New Roman"/>
                <w:sz w:val="22"/>
              </w:rPr>
            </w:pPr>
          </w:p>
        </w:tc>
        <w:tc>
          <w:tcPr>
            <w:tcW w:w="451" w:type="dxa"/>
            <w:vMerge w:val="continue"/>
            <w:tcBorders>
              <w:top w:val="nil"/>
            </w:tcBorders>
          </w:tcPr>
          <w:p w14:paraId="13739620">
            <w:pPr>
              <w:rPr>
                <w:sz w:val="2"/>
                <w:szCs w:val="2"/>
              </w:rPr>
            </w:pPr>
          </w:p>
        </w:tc>
        <w:tc>
          <w:tcPr>
            <w:tcW w:w="1863" w:type="dxa"/>
            <w:gridSpan w:val="2"/>
          </w:tcPr>
          <w:p w14:paraId="3527F71F">
            <w:pPr>
              <w:pStyle w:val="37"/>
              <w:spacing w:before="116" w:line="299" w:lineRule="exact"/>
              <w:ind w:left="202"/>
              <w:rPr>
                <w:sz w:val="24"/>
              </w:rPr>
            </w:pPr>
            <w:r>
              <w:rPr>
                <w:spacing w:val="-2"/>
                <w:sz w:val="24"/>
              </w:rPr>
              <w:t>中级职称人员</w:t>
            </w:r>
          </w:p>
        </w:tc>
        <w:tc>
          <w:tcPr>
            <w:tcW w:w="1411" w:type="dxa"/>
            <w:gridSpan w:val="2"/>
          </w:tcPr>
          <w:p w14:paraId="36B5B4F1">
            <w:pPr>
              <w:pStyle w:val="37"/>
              <w:rPr>
                <w:rFonts w:ascii="Times New Roman"/>
                <w:sz w:val="22"/>
              </w:rPr>
            </w:pPr>
          </w:p>
        </w:tc>
      </w:tr>
      <w:tr w14:paraId="284E2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5269967C">
            <w:pPr>
              <w:pStyle w:val="37"/>
              <w:spacing w:before="116" w:line="300" w:lineRule="exact"/>
              <w:ind w:left="46"/>
              <w:jc w:val="center"/>
              <w:rPr>
                <w:sz w:val="24"/>
              </w:rPr>
            </w:pPr>
            <w:r>
              <w:rPr>
                <w:spacing w:val="-2"/>
                <w:sz w:val="24"/>
              </w:rPr>
              <w:t>基本账户开户银行</w:t>
            </w:r>
          </w:p>
        </w:tc>
        <w:tc>
          <w:tcPr>
            <w:tcW w:w="3604" w:type="dxa"/>
            <w:gridSpan w:val="3"/>
          </w:tcPr>
          <w:p w14:paraId="53EDC63C">
            <w:pPr>
              <w:pStyle w:val="37"/>
              <w:rPr>
                <w:rFonts w:ascii="Times New Roman"/>
                <w:sz w:val="22"/>
              </w:rPr>
            </w:pPr>
          </w:p>
        </w:tc>
        <w:tc>
          <w:tcPr>
            <w:tcW w:w="451" w:type="dxa"/>
            <w:vMerge w:val="continue"/>
            <w:tcBorders>
              <w:top w:val="nil"/>
            </w:tcBorders>
          </w:tcPr>
          <w:p w14:paraId="095E9B57">
            <w:pPr>
              <w:rPr>
                <w:sz w:val="2"/>
                <w:szCs w:val="2"/>
              </w:rPr>
            </w:pPr>
          </w:p>
        </w:tc>
        <w:tc>
          <w:tcPr>
            <w:tcW w:w="1863" w:type="dxa"/>
            <w:gridSpan w:val="2"/>
          </w:tcPr>
          <w:p w14:paraId="39D57B07">
            <w:pPr>
              <w:pStyle w:val="37"/>
              <w:spacing w:before="116" w:line="300" w:lineRule="exact"/>
              <w:ind w:left="202"/>
              <w:rPr>
                <w:sz w:val="24"/>
              </w:rPr>
            </w:pPr>
            <w:r>
              <w:rPr>
                <w:spacing w:val="-2"/>
                <w:sz w:val="24"/>
              </w:rPr>
              <w:t>技术人员数量</w:t>
            </w:r>
          </w:p>
        </w:tc>
        <w:tc>
          <w:tcPr>
            <w:tcW w:w="1411" w:type="dxa"/>
            <w:gridSpan w:val="2"/>
          </w:tcPr>
          <w:p w14:paraId="2BD98BB4">
            <w:pPr>
              <w:pStyle w:val="37"/>
              <w:rPr>
                <w:rFonts w:ascii="Times New Roman"/>
                <w:sz w:val="22"/>
              </w:rPr>
            </w:pPr>
          </w:p>
        </w:tc>
      </w:tr>
      <w:tr w14:paraId="736BF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jc w:val="center"/>
        </w:trPr>
        <w:tc>
          <w:tcPr>
            <w:tcW w:w="2148" w:type="dxa"/>
          </w:tcPr>
          <w:p w14:paraId="38840CF9">
            <w:pPr>
              <w:pStyle w:val="37"/>
              <w:spacing w:before="115" w:line="300" w:lineRule="exact"/>
              <w:ind w:left="46"/>
              <w:jc w:val="center"/>
              <w:rPr>
                <w:sz w:val="24"/>
              </w:rPr>
            </w:pPr>
            <w:r>
              <w:rPr>
                <w:spacing w:val="-2"/>
                <w:sz w:val="24"/>
              </w:rPr>
              <w:t>基本账户银行账号</w:t>
            </w:r>
          </w:p>
        </w:tc>
        <w:tc>
          <w:tcPr>
            <w:tcW w:w="3604" w:type="dxa"/>
            <w:gridSpan w:val="3"/>
          </w:tcPr>
          <w:p w14:paraId="1552DD0A">
            <w:pPr>
              <w:pStyle w:val="37"/>
              <w:rPr>
                <w:rFonts w:ascii="Times New Roman"/>
                <w:sz w:val="22"/>
              </w:rPr>
            </w:pPr>
          </w:p>
        </w:tc>
        <w:tc>
          <w:tcPr>
            <w:tcW w:w="451" w:type="dxa"/>
            <w:vMerge w:val="continue"/>
            <w:tcBorders>
              <w:top w:val="nil"/>
            </w:tcBorders>
          </w:tcPr>
          <w:p w14:paraId="2BEEE4E1">
            <w:pPr>
              <w:rPr>
                <w:sz w:val="2"/>
                <w:szCs w:val="2"/>
              </w:rPr>
            </w:pPr>
          </w:p>
        </w:tc>
        <w:tc>
          <w:tcPr>
            <w:tcW w:w="1863" w:type="dxa"/>
            <w:gridSpan w:val="2"/>
          </w:tcPr>
          <w:p w14:paraId="24410BC8">
            <w:pPr>
              <w:pStyle w:val="37"/>
              <w:spacing w:before="115" w:line="300" w:lineRule="exact"/>
              <w:ind w:left="202"/>
              <w:rPr>
                <w:sz w:val="24"/>
              </w:rPr>
            </w:pPr>
            <w:r>
              <w:rPr>
                <w:spacing w:val="-2"/>
                <w:sz w:val="24"/>
              </w:rPr>
              <w:t>各类注册人员</w:t>
            </w:r>
          </w:p>
        </w:tc>
        <w:tc>
          <w:tcPr>
            <w:tcW w:w="1411" w:type="dxa"/>
            <w:gridSpan w:val="2"/>
          </w:tcPr>
          <w:p w14:paraId="43689009">
            <w:pPr>
              <w:pStyle w:val="37"/>
              <w:rPr>
                <w:rFonts w:ascii="Times New Roman"/>
                <w:sz w:val="22"/>
              </w:rPr>
            </w:pPr>
          </w:p>
        </w:tc>
      </w:tr>
      <w:tr w14:paraId="16BF5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8" w:hRule="atLeast"/>
          <w:jc w:val="center"/>
        </w:trPr>
        <w:tc>
          <w:tcPr>
            <w:tcW w:w="2148" w:type="dxa"/>
            <w:tcBorders>
              <w:bottom w:val="single" w:color="000000" w:sz="8" w:space="0"/>
            </w:tcBorders>
          </w:tcPr>
          <w:p w14:paraId="1CC4C032">
            <w:pPr>
              <w:pStyle w:val="37"/>
              <w:spacing w:before="103"/>
              <w:rPr>
                <w:sz w:val="24"/>
              </w:rPr>
            </w:pPr>
          </w:p>
          <w:p w14:paraId="2ED73C47">
            <w:pPr>
              <w:pStyle w:val="37"/>
              <w:spacing w:before="1"/>
              <w:ind w:left="46"/>
              <w:jc w:val="center"/>
              <w:rPr>
                <w:sz w:val="24"/>
              </w:rPr>
            </w:pPr>
            <w:r>
              <w:rPr>
                <w:spacing w:val="-3"/>
                <w:sz w:val="24"/>
              </w:rPr>
              <w:t>经营范围</w:t>
            </w:r>
          </w:p>
        </w:tc>
        <w:tc>
          <w:tcPr>
            <w:tcW w:w="7329" w:type="dxa"/>
            <w:gridSpan w:val="8"/>
            <w:tcBorders>
              <w:bottom w:val="single" w:color="000000" w:sz="8" w:space="0"/>
            </w:tcBorders>
          </w:tcPr>
          <w:p w14:paraId="14726213">
            <w:pPr>
              <w:pStyle w:val="37"/>
              <w:rPr>
                <w:rFonts w:ascii="Times New Roman"/>
                <w:sz w:val="22"/>
              </w:rPr>
            </w:pPr>
          </w:p>
        </w:tc>
      </w:tr>
      <w:tr w14:paraId="52D80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9" w:hRule="atLeast"/>
          <w:jc w:val="center"/>
        </w:trPr>
        <w:tc>
          <w:tcPr>
            <w:tcW w:w="2148" w:type="dxa"/>
            <w:tcBorders>
              <w:top w:val="single" w:color="000000" w:sz="8" w:space="0"/>
            </w:tcBorders>
          </w:tcPr>
          <w:p w14:paraId="5D035B98">
            <w:pPr>
              <w:pStyle w:val="37"/>
              <w:rPr>
                <w:sz w:val="24"/>
              </w:rPr>
            </w:pPr>
          </w:p>
          <w:p w14:paraId="23F1D48B">
            <w:pPr>
              <w:pStyle w:val="37"/>
              <w:spacing w:before="149"/>
              <w:rPr>
                <w:sz w:val="24"/>
              </w:rPr>
            </w:pPr>
          </w:p>
          <w:p w14:paraId="68B1B5A7">
            <w:pPr>
              <w:pStyle w:val="37"/>
              <w:spacing w:before="1" w:line="403" w:lineRule="auto"/>
              <w:ind w:left="758" w:right="291" w:hanging="601"/>
              <w:rPr>
                <w:sz w:val="24"/>
              </w:rPr>
            </w:pPr>
            <w:r>
              <w:rPr>
                <w:spacing w:val="-2"/>
                <w:sz w:val="24"/>
              </w:rPr>
              <w:t>投标人关联企业</w:t>
            </w:r>
            <w:r>
              <w:rPr>
                <w:spacing w:val="-6"/>
                <w:sz w:val="24"/>
              </w:rPr>
              <w:t>情况</w:t>
            </w:r>
          </w:p>
        </w:tc>
        <w:tc>
          <w:tcPr>
            <w:tcW w:w="7329" w:type="dxa"/>
            <w:gridSpan w:val="8"/>
            <w:tcBorders>
              <w:top w:val="single" w:color="000000" w:sz="8" w:space="0"/>
            </w:tcBorders>
          </w:tcPr>
          <w:p w14:paraId="5B47DEDE">
            <w:pPr>
              <w:pStyle w:val="37"/>
              <w:rPr>
                <w:rFonts w:ascii="Times New Roman"/>
                <w:sz w:val="22"/>
              </w:rPr>
            </w:pPr>
          </w:p>
        </w:tc>
      </w:tr>
    </w:tbl>
    <w:p w14:paraId="73770F69">
      <w:pPr>
        <w:pStyle w:val="59"/>
        <w:rPr>
          <w:rFonts w:hint="eastAsia"/>
          <w:sz w:val="21"/>
        </w:rPr>
      </w:pPr>
      <w:r>
        <w:rPr>
          <w:rFonts w:hint="eastAsia"/>
          <w:sz w:val="21"/>
        </w:rPr>
        <w:t>备注：1. 投标人应根据投标人须知第 3.5.1 项的要求在本表后附相关证明材料。</w:t>
      </w:r>
    </w:p>
    <w:p w14:paraId="7BDB20D0">
      <w:pPr>
        <w:pStyle w:val="59"/>
        <w:rPr>
          <w:rFonts w:hint="eastAsia"/>
          <w:sz w:val="21"/>
        </w:rPr>
      </w:pPr>
      <w:r>
        <w:rPr>
          <w:rFonts w:hint="eastAsia"/>
          <w:sz w:val="21"/>
        </w:rPr>
        <w:t>2.“投标人关联企业情况” 包括但不限于与投标人法定代表人为同一人或者存在控股、管理关系的不同单位，投标人应当如实填写。</w:t>
      </w:r>
    </w:p>
    <w:p w14:paraId="729C212A">
      <w:pPr>
        <w:pStyle w:val="59"/>
      </w:pPr>
      <w:r>
        <w:rPr>
          <w:rFonts w:hint="eastAsia"/>
          <w:sz w:val="21"/>
        </w:rPr>
        <w:t>3.联合体投标的，联合体各成员应分别填写。</w:t>
      </w:r>
      <w:r>
        <w:br w:type="page"/>
      </w:r>
    </w:p>
    <w:p w14:paraId="6FB37882">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pPr>
      <w:bookmarkStart w:id="331" w:name="_Toc9093"/>
      <w:bookmarkStart w:id="332" w:name="_Toc256000050"/>
      <w:bookmarkStart w:id="333" w:name="_Toc22377"/>
      <w:r>
        <w:rPr>
          <w:rFonts w:ascii="Times New Roman" w:hAnsi="Times New Roman" w:eastAsia="黑体" w:cs="Times New Roman"/>
          <w:bCs/>
          <w:kern w:val="2"/>
          <w:sz w:val="28"/>
          <w:szCs w:val="32"/>
          <w:lang w:val="en-US" w:eastAsia="zh-CN" w:bidi="ar-SA"/>
        </w:rPr>
        <w:t>（二）近年财务状况表</w:t>
      </w:r>
      <w:bookmarkEnd w:id="331"/>
      <w:bookmarkEnd w:id="332"/>
      <w:bookmarkEnd w:id="333"/>
    </w:p>
    <w:p w14:paraId="75288C0A">
      <w:pPr>
        <w:spacing w:after="200" w:line="276" w:lineRule="auto"/>
        <w:jc w:val="left"/>
        <w:rPr>
          <w:rFonts w:ascii="Times New Roman" w:hAnsi="Times New Roman"/>
          <w:b/>
          <w:bCs/>
          <w:szCs w:val="21"/>
        </w:rPr>
      </w:pPr>
      <w:r>
        <w:rPr>
          <w:rFonts w:ascii="Times New Roman" w:hAnsi="Times New Roman"/>
          <w:b/>
          <w:bCs/>
          <w:szCs w:val="21"/>
        </w:rPr>
        <w:t>（投标人无需上传近年财务状况资料）</w:t>
      </w:r>
    </w:p>
    <w:p w14:paraId="26FA1653">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pPr>
      <w:r>
        <w:rPr>
          <w:rFonts w:ascii="Times New Roman" w:hAnsi="Times New Roman" w:eastAsia="宋体" w:cs="Times New Roman"/>
          <w:kern w:val="2"/>
          <w:sz w:val="21"/>
          <w:szCs w:val="22"/>
          <w:lang w:bidi="ar-SA"/>
        </w:rPr>
        <w:br w:type="page"/>
      </w:r>
      <w:bookmarkStart w:id="334" w:name="_Toc16561"/>
      <w:bookmarkStart w:id="335" w:name="_Toc256000051"/>
      <w:bookmarkStart w:id="336" w:name="_Toc16912"/>
      <w:r>
        <w:rPr>
          <w:rFonts w:ascii="Times New Roman" w:hAnsi="Times New Roman" w:eastAsia="黑体" w:cs="Times New Roman"/>
          <w:bCs/>
          <w:kern w:val="2"/>
          <w:sz w:val="28"/>
          <w:szCs w:val="32"/>
          <w:lang w:val="en-US" w:eastAsia="zh-CN" w:bidi="ar-SA"/>
        </w:rPr>
        <w:t>（三）</w:t>
      </w:r>
      <w:bookmarkEnd w:id="334"/>
      <w:bookmarkEnd w:id="335"/>
      <w:r>
        <w:rPr>
          <w:rFonts w:hint="eastAsia" w:ascii="Times New Roman" w:hAnsi="Times New Roman" w:eastAsia="黑体" w:cs="Times New Roman"/>
          <w:bCs/>
          <w:kern w:val="2"/>
          <w:sz w:val="28"/>
          <w:szCs w:val="32"/>
          <w:lang w:val="en-US" w:eastAsia="zh-CN" w:bidi="ar-SA"/>
        </w:rPr>
        <w:t>近年承担过的类似项目情况表</w:t>
      </w:r>
      <w:bookmarkEnd w:id="336"/>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7"/>
        <w:gridCol w:w="6023"/>
      </w:tblGrid>
      <w:tr w14:paraId="460A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4D3B4631">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序号</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025C7F97">
            <w:pPr>
              <w:widowControl w:val="0"/>
              <w:spacing w:line="440" w:lineRule="exact"/>
              <w:jc w:val="center"/>
              <w:rPr>
                <w:rFonts w:ascii="Times New Roman" w:hAnsi="Times New Roman" w:eastAsia="宋体" w:cs="Times New Roman"/>
                <w:kern w:val="2"/>
                <w:sz w:val="21"/>
                <w:szCs w:val="21"/>
                <w:lang w:val="en-US" w:eastAsia="zh-CN" w:bidi="ar-SA"/>
              </w:rPr>
            </w:pPr>
          </w:p>
        </w:tc>
      </w:tr>
      <w:tr w14:paraId="6F27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43A87926">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项目名称</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7307798A">
            <w:pPr>
              <w:widowControl w:val="0"/>
              <w:spacing w:line="440" w:lineRule="exact"/>
              <w:jc w:val="center"/>
              <w:rPr>
                <w:rFonts w:ascii="Times New Roman" w:hAnsi="Times New Roman" w:eastAsia="宋体" w:cs="Times New Roman"/>
                <w:kern w:val="2"/>
                <w:sz w:val="21"/>
                <w:szCs w:val="21"/>
                <w:lang w:val="en-US" w:eastAsia="zh-CN" w:bidi="ar-SA"/>
              </w:rPr>
            </w:pPr>
          </w:p>
        </w:tc>
      </w:tr>
      <w:tr w14:paraId="2034A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7AD8AC3A">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项目所在地</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484C3A5A">
            <w:pPr>
              <w:widowControl w:val="0"/>
              <w:spacing w:line="440" w:lineRule="exact"/>
              <w:jc w:val="center"/>
              <w:rPr>
                <w:rFonts w:ascii="Times New Roman" w:hAnsi="Times New Roman" w:eastAsia="宋体" w:cs="Times New Roman"/>
                <w:kern w:val="2"/>
                <w:sz w:val="21"/>
                <w:szCs w:val="21"/>
                <w:lang w:val="en-US" w:eastAsia="zh-CN" w:bidi="ar-SA"/>
              </w:rPr>
            </w:pPr>
          </w:p>
        </w:tc>
      </w:tr>
      <w:tr w14:paraId="4E42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77D592C8">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业主名称</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5911ECB3">
            <w:pPr>
              <w:widowControl w:val="0"/>
              <w:spacing w:line="440" w:lineRule="exact"/>
              <w:jc w:val="center"/>
              <w:rPr>
                <w:rFonts w:ascii="Times New Roman" w:hAnsi="Times New Roman" w:eastAsia="宋体" w:cs="Times New Roman"/>
                <w:kern w:val="2"/>
                <w:sz w:val="21"/>
                <w:szCs w:val="21"/>
                <w:lang w:val="en-US" w:eastAsia="zh-CN" w:bidi="ar-SA"/>
              </w:rPr>
            </w:pPr>
          </w:p>
        </w:tc>
      </w:tr>
      <w:tr w14:paraId="252E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19A27180">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业主地址</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644B0819">
            <w:pPr>
              <w:widowControl w:val="0"/>
              <w:spacing w:line="440" w:lineRule="exact"/>
              <w:jc w:val="center"/>
              <w:rPr>
                <w:rFonts w:ascii="Times New Roman" w:hAnsi="Times New Roman" w:eastAsia="宋体" w:cs="Times New Roman"/>
                <w:kern w:val="2"/>
                <w:sz w:val="21"/>
                <w:szCs w:val="21"/>
                <w:lang w:val="en-US" w:eastAsia="zh-CN" w:bidi="ar-SA"/>
              </w:rPr>
            </w:pPr>
          </w:p>
        </w:tc>
      </w:tr>
      <w:tr w14:paraId="737A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274E5AB3">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业主电话</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3EA1DA0F">
            <w:pPr>
              <w:widowControl w:val="0"/>
              <w:spacing w:line="440" w:lineRule="exact"/>
              <w:jc w:val="center"/>
              <w:rPr>
                <w:rFonts w:ascii="Times New Roman" w:hAnsi="Times New Roman" w:eastAsia="宋体" w:cs="Times New Roman"/>
                <w:kern w:val="2"/>
                <w:sz w:val="21"/>
                <w:szCs w:val="21"/>
                <w:lang w:val="en-US" w:eastAsia="zh-CN" w:bidi="ar-SA"/>
              </w:rPr>
            </w:pPr>
          </w:p>
        </w:tc>
      </w:tr>
      <w:tr w14:paraId="37C9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74C5EC5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合同金额</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2372FBF4">
            <w:pPr>
              <w:widowControl w:val="0"/>
              <w:spacing w:line="440" w:lineRule="exact"/>
              <w:jc w:val="center"/>
              <w:rPr>
                <w:rFonts w:ascii="Times New Roman" w:hAnsi="Times New Roman" w:eastAsia="宋体" w:cs="Times New Roman"/>
                <w:kern w:val="2"/>
                <w:sz w:val="21"/>
                <w:szCs w:val="21"/>
                <w:lang w:val="en-US" w:eastAsia="zh-CN" w:bidi="ar-SA"/>
              </w:rPr>
            </w:pPr>
          </w:p>
        </w:tc>
      </w:tr>
      <w:tr w14:paraId="0A68E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46317FDA">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服务内容</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41C2DD90">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 </w:t>
            </w:r>
          </w:p>
        </w:tc>
      </w:tr>
      <w:tr w14:paraId="73682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07AE4357">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服务期限</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2BE605A3">
            <w:pPr>
              <w:widowControl w:val="0"/>
              <w:spacing w:line="440" w:lineRule="exact"/>
              <w:jc w:val="center"/>
              <w:rPr>
                <w:rFonts w:ascii="Times New Roman" w:hAnsi="Times New Roman" w:eastAsia="宋体" w:cs="Times New Roman"/>
                <w:kern w:val="2"/>
                <w:sz w:val="21"/>
                <w:szCs w:val="21"/>
                <w:lang w:val="en-US" w:eastAsia="zh-CN" w:bidi="ar-SA"/>
              </w:rPr>
            </w:pPr>
          </w:p>
        </w:tc>
      </w:tr>
      <w:tr w14:paraId="1B64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704B0142">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项目负责人</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649CF675">
            <w:pPr>
              <w:widowControl w:val="0"/>
              <w:spacing w:line="440" w:lineRule="exact"/>
              <w:jc w:val="center"/>
              <w:rPr>
                <w:rFonts w:ascii="Times New Roman" w:hAnsi="Times New Roman" w:eastAsia="宋体" w:cs="Times New Roman"/>
                <w:kern w:val="2"/>
                <w:sz w:val="21"/>
                <w:szCs w:val="21"/>
                <w:lang w:val="en-US" w:eastAsia="zh-CN" w:bidi="ar-SA"/>
              </w:rPr>
            </w:pPr>
          </w:p>
        </w:tc>
      </w:tr>
      <w:tr w14:paraId="54E37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3D04E035">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项目完成情况</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1EB0F9ED">
            <w:pPr>
              <w:widowControl w:val="0"/>
              <w:spacing w:line="440" w:lineRule="exact"/>
              <w:jc w:val="center"/>
              <w:rPr>
                <w:rFonts w:ascii="Times New Roman" w:hAnsi="Times New Roman" w:eastAsia="宋体" w:cs="Times New Roman"/>
                <w:kern w:val="2"/>
                <w:sz w:val="21"/>
                <w:szCs w:val="21"/>
                <w:lang w:val="en-US" w:eastAsia="zh-CN" w:bidi="ar-SA"/>
              </w:rPr>
            </w:pPr>
          </w:p>
        </w:tc>
      </w:tr>
      <w:tr w14:paraId="29D3C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58938140">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项目描述</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4DCC7CEB">
            <w:pPr>
              <w:widowControl w:val="0"/>
              <w:spacing w:line="440" w:lineRule="exact"/>
              <w:jc w:val="center"/>
              <w:rPr>
                <w:rFonts w:ascii="Times New Roman" w:hAnsi="Times New Roman" w:eastAsia="宋体" w:cs="Times New Roman"/>
                <w:kern w:val="2"/>
                <w:sz w:val="21"/>
                <w:szCs w:val="21"/>
                <w:lang w:val="en-US" w:eastAsia="zh-CN" w:bidi="ar-SA"/>
              </w:rPr>
            </w:pPr>
          </w:p>
          <w:p w14:paraId="22FAD580">
            <w:pPr>
              <w:widowControl w:val="0"/>
              <w:spacing w:line="440" w:lineRule="exact"/>
              <w:jc w:val="center"/>
              <w:rPr>
                <w:rFonts w:ascii="Times New Roman" w:hAnsi="Times New Roman" w:eastAsia="宋体" w:cs="Times New Roman"/>
                <w:kern w:val="2"/>
                <w:sz w:val="21"/>
                <w:szCs w:val="21"/>
                <w:lang w:val="en-US" w:eastAsia="zh-CN" w:bidi="ar-SA"/>
              </w:rPr>
            </w:pPr>
          </w:p>
          <w:p w14:paraId="081B934F">
            <w:pPr>
              <w:widowControl w:val="0"/>
              <w:spacing w:line="440" w:lineRule="exact"/>
              <w:jc w:val="center"/>
              <w:rPr>
                <w:rFonts w:ascii="Times New Roman" w:hAnsi="Times New Roman" w:eastAsia="宋体" w:cs="Times New Roman"/>
                <w:kern w:val="2"/>
                <w:sz w:val="21"/>
                <w:szCs w:val="21"/>
                <w:lang w:val="en-US" w:eastAsia="zh-CN" w:bidi="ar-SA"/>
              </w:rPr>
            </w:pPr>
          </w:p>
          <w:p w14:paraId="05F90189">
            <w:pPr>
              <w:widowControl w:val="0"/>
              <w:spacing w:line="440" w:lineRule="exact"/>
              <w:jc w:val="center"/>
              <w:rPr>
                <w:rFonts w:ascii="Times New Roman" w:hAnsi="Times New Roman" w:eastAsia="宋体" w:cs="Times New Roman"/>
                <w:kern w:val="2"/>
                <w:sz w:val="21"/>
                <w:szCs w:val="21"/>
                <w:lang w:val="en-US" w:eastAsia="zh-CN" w:bidi="ar-SA"/>
              </w:rPr>
            </w:pPr>
          </w:p>
          <w:p w14:paraId="1556339C">
            <w:pPr>
              <w:widowControl w:val="0"/>
              <w:spacing w:line="440" w:lineRule="exact"/>
              <w:jc w:val="center"/>
              <w:rPr>
                <w:rFonts w:ascii="Times New Roman" w:hAnsi="Times New Roman" w:eastAsia="宋体" w:cs="Times New Roman"/>
                <w:kern w:val="2"/>
                <w:sz w:val="21"/>
                <w:szCs w:val="21"/>
                <w:lang w:val="en-US" w:eastAsia="zh-CN" w:bidi="ar-SA"/>
              </w:rPr>
            </w:pPr>
          </w:p>
          <w:p w14:paraId="1EC2416A">
            <w:pPr>
              <w:widowControl w:val="0"/>
              <w:spacing w:line="440" w:lineRule="exact"/>
              <w:jc w:val="center"/>
              <w:rPr>
                <w:rFonts w:ascii="Times New Roman" w:hAnsi="Times New Roman" w:eastAsia="宋体" w:cs="Times New Roman"/>
                <w:kern w:val="2"/>
                <w:sz w:val="21"/>
                <w:szCs w:val="21"/>
                <w:lang w:val="en-US" w:eastAsia="zh-CN" w:bidi="ar-SA"/>
              </w:rPr>
            </w:pPr>
          </w:p>
        </w:tc>
      </w:tr>
      <w:tr w14:paraId="75CB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197" w:type="dxa"/>
            <w:tcBorders>
              <w:top w:val="single" w:color="auto" w:sz="4" w:space="0"/>
              <w:left w:val="single" w:color="auto" w:sz="4" w:space="0"/>
              <w:bottom w:val="single" w:color="auto" w:sz="4" w:space="0"/>
              <w:right w:val="single" w:color="auto" w:sz="4" w:space="0"/>
            </w:tcBorders>
            <w:noWrap w:val="0"/>
            <w:vAlign w:val="center"/>
          </w:tcPr>
          <w:p w14:paraId="7A12EAA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备注</w:t>
            </w:r>
          </w:p>
        </w:tc>
        <w:tc>
          <w:tcPr>
            <w:tcW w:w="6023" w:type="dxa"/>
            <w:tcBorders>
              <w:top w:val="single" w:color="auto" w:sz="4" w:space="0"/>
              <w:left w:val="single" w:color="auto" w:sz="4" w:space="0"/>
              <w:bottom w:val="single" w:color="auto" w:sz="4" w:space="0"/>
              <w:right w:val="single" w:color="auto" w:sz="4" w:space="0"/>
            </w:tcBorders>
            <w:noWrap w:val="0"/>
            <w:vAlign w:val="center"/>
          </w:tcPr>
          <w:p w14:paraId="3D111F0C">
            <w:pPr>
              <w:widowControl w:val="0"/>
              <w:spacing w:line="440" w:lineRule="exact"/>
              <w:jc w:val="center"/>
              <w:rPr>
                <w:rFonts w:ascii="Times New Roman" w:hAnsi="Times New Roman" w:eastAsia="宋体" w:cs="Times New Roman"/>
                <w:kern w:val="2"/>
                <w:sz w:val="21"/>
                <w:szCs w:val="21"/>
                <w:lang w:val="en-US" w:eastAsia="zh-CN" w:bidi="ar-SA"/>
              </w:rPr>
            </w:pPr>
          </w:p>
          <w:p w14:paraId="2C219FAB">
            <w:pPr>
              <w:widowControl w:val="0"/>
              <w:spacing w:line="440" w:lineRule="exact"/>
              <w:jc w:val="center"/>
              <w:rPr>
                <w:rFonts w:ascii="Times New Roman" w:hAnsi="Times New Roman" w:eastAsia="宋体" w:cs="Times New Roman"/>
                <w:kern w:val="2"/>
                <w:sz w:val="21"/>
                <w:szCs w:val="21"/>
                <w:lang w:val="en-US" w:eastAsia="zh-CN" w:bidi="ar-SA"/>
              </w:rPr>
            </w:pPr>
          </w:p>
        </w:tc>
      </w:tr>
    </w:tbl>
    <w:p w14:paraId="368BA1A7">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备注：</w:t>
      </w:r>
    </w:p>
    <w:p w14:paraId="68CF7A1D">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1.每张表格只填写一个项目，并标明序号。</w:t>
      </w:r>
    </w:p>
    <w:p w14:paraId="78E4E7E2">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2.</w:t>
      </w:r>
      <w:r>
        <w:rPr>
          <w:rFonts w:hint="eastAsia" w:ascii="Times New Roman" w:hAnsi="Times New Roman" w:eastAsia="宋体" w:cs="Times New Roman"/>
          <w:kern w:val="2"/>
          <w:sz w:val="21"/>
          <w:szCs w:val="20"/>
          <w:lang w:val="en-US" w:eastAsia="zh-CN" w:bidi="ar-SA"/>
        </w:rPr>
        <w:t>本表应按招标公告附录2资格审查条件(业绩最低要求)要求填写，并提供证明材料</w:t>
      </w:r>
      <w:r>
        <w:rPr>
          <w:rFonts w:ascii="Times New Roman" w:hAnsi="Times New Roman" w:eastAsia="宋体" w:cs="Times New Roman"/>
          <w:kern w:val="2"/>
          <w:sz w:val="21"/>
          <w:szCs w:val="20"/>
          <w:lang w:val="en-US" w:eastAsia="zh-CN" w:bidi="ar-SA"/>
        </w:rPr>
        <w:t>。</w:t>
      </w:r>
    </w:p>
    <w:p w14:paraId="4A5D6AC3">
      <w:pPr>
        <w:pStyle w:val="61"/>
      </w:pPr>
      <w:r>
        <w:br w:type="page"/>
      </w:r>
    </w:p>
    <w:p w14:paraId="15530E4A">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pPr>
      <w:bookmarkStart w:id="337" w:name="_Toc256000052"/>
      <w:bookmarkStart w:id="338" w:name="_Toc21936"/>
      <w:bookmarkStart w:id="339" w:name="_Toc8136"/>
      <w:r>
        <w:rPr>
          <w:rFonts w:ascii="Times New Roman" w:hAnsi="Times New Roman" w:eastAsia="黑体" w:cs="Times New Roman"/>
          <w:bCs/>
          <w:kern w:val="2"/>
          <w:sz w:val="28"/>
          <w:szCs w:val="32"/>
          <w:lang w:val="en-US" w:eastAsia="zh-CN" w:bidi="ar-SA"/>
        </w:rPr>
        <w:t>（四）正在服务和新承接的项目情况表</w:t>
      </w:r>
      <w:bookmarkEnd w:id="337"/>
      <w:bookmarkEnd w:id="338"/>
      <w:bookmarkEnd w:id="339"/>
    </w:p>
    <w:p w14:paraId="3A5DD73A">
      <w:pPr>
        <w:widowControl w:val="0"/>
        <w:spacing w:line="400" w:lineRule="exact"/>
        <w:jc w:val="both"/>
        <w:rPr>
          <w:rFonts w:ascii="Times New Roman" w:hAnsi="Times New Roman" w:eastAsia="宋体" w:cs="Times New Roman"/>
          <w:color w:val="FF0000"/>
          <w:kern w:val="2"/>
          <w:sz w:val="24"/>
          <w:szCs w:val="21"/>
          <w:lang w:val="en-US" w:eastAsia="zh-CN" w:bidi="ar-SA"/>
        </w:rPr>
      </w:pPr>
      <w:r>
        <w:rPr>
          <w:rFonts w:ascii="Times New Roman" w:hAnsi="Times New Roman" w:eastAsia="宋体" w:cs="Times New Roman"/>
          <w:kern w:val="2"/>
          <w:sz w:val="21"/>
          <w:szCs w:val="22"/>
          <w:lang w:val="en-US" w:eastAsia="zh-CN" w:bidi="ar-SA"/>
        </w:rPr>
        <w:t>(投标人无须填写该部分内容)</w:t>
      </w:r>
    </w:p>
    <w:p w14:paraId="6035C1A0">
      <w:pPr>
        <w:pStyle w:val="63"/>
      </w:pPr>
      <w:r>
        <w:br w:type="page"/>
      </w:r>
    </w:p>
    <w:p w14:paraId="2CA831F4">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pPr>
      <w:bookmarkStart w:id="340" w:name="_Toc20828"/>
      <w:bookmarkStart w:id="341" w:name="_Toc256000053"/>
      <w:bookmarkStart w:id="342" w:name="_Toc22661"/>
      <w:r>
        <w:rPr>
          <w:rFonts w:ascii="Times New Roman" w:hAnsi="Times New Roman" w:eastAsia="黑体" w:cs="Times New Roman"/>
          <w:bCs/>
          <w:kern w:val="2"/>
          <w:sz w:val="28"/>
          <w:szCs w:val="32"/>
          <w:lang w:val="en-US" w:eastAsia="zh-CN" w:bidi="ar-SA"/>
        </w:rPr>
        <w:t>（五）近年发生的诉讼及仲裁情况</w:t>
      </w:r>
      <w:bookmarkEnd w:id="340"/>
      <w:bookmarkEnd w:id="341"/>
      <w:bookmarkEnd w:id="342"/>
    </w:p>
    <w:p w14:paraId="51394279">
      <w:pPr>
        <w:widowControl w:val="0"/>
        <w:spacing w:line="400" w:lineRule="exact"/>
        <w:jc w:val="both"/>
        <w:rPr>
          <w:rFonts w:ascii="Times New Roman" w:hAnsi="Times New Roman" w:eastAsia="宋体" w:cs="Times New Roman"/>
          <w:color w:val="FF0000"/>
          <w:kern w:val="2"/>
          <w:sz w:val="24"/>
          <w:szCs w:val="21"/>
          <w:lang w:val="en-US" w:eastAsia="zh-CN" w:bidi="ar-SA"/>
        </w:rPr>
      </w:pPr>
      <w:r>
        <w:rPr>
          <w:rFonts w:ascii="Times New Roman" w:hAnsi="Times New Roman" w:eastAsia="宋体" w:cs="Times New Roman"/>
          <w:kern w:val="2"/>
          <w:sz w:val="21"/>
          <w:szCs w:val="22"/>
          <w:lang w:val="en-US" w:eastAsia="zh-CN" w:bidi="ar-SA"/>
        </w:rPr>
        <w:t>(投标人无须填写该部分内容)</w:t>
      </w:r>
    </w:p>
    <w:p w14:paraId="750B87D5">
      <w:pPr>
        <w:pStyle w:val="64"/>
      </w:pPr>
      <w:r>
        <w:br w:type="page"/>
      </w:r>
    </w:p>
    <w:p w14:paraId="201E0D07">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pPr>
      <w:bookmarkStart w:id="343" w:name="_Toc256000054"/>
      <w:bookmarkStart w:id="344" w:name="_Toc30668"/>
      <w:bookmarkStart w:id="345" w:name="_Toc28109"/>
      <w:r>
        <w:rPr>
          <w:rFonts w:ascii="Times New Roman" w:hAnsi="Times New Roman" w:eastAsia="黑体" w:cs="Times New Roman"/>
          <w:bCs/>
          <w:kern w:val="2"/>
          <w:sz w:val="28"/>
          <w:szCs w:val="32"/>
          <w:lang w:val="en-US" w:eastAsia="zh-CN" w:bidi="ar-SA"/>
        </w:rPr>
        <w:t>（六） 投标人信誉声明</w:t>
      </w:r>
      <w:bookmarkEnd w:id="343"/>
      <w:bookmarkEnd w:id="344"/>
      <w:bookmarkEnd w:id="345"/>
    </w:p>
    <w:p w14:paraId="7EAEF165">
      <w:pPr>
        <w:keepNext/>
        <w:adjustRightInd w:val="0"/>
        <w:spacing w:before="200" w:after="200" w:line="400" w:lineRule="exact"/>
        <w:jc w:val="center"/>
        <w:textAlignment w:val="baseline"/>
        <w:outlineLvl w:val="3"/>
        <w:rPr>
          <w:rFonts w:ascii="Times New Roman" w:hAnsi="Times New Roman" w:eastAsia="黑体"/>
          <w:color w:val="000000"/>
          <w:kern w:val="0"/>
          <w:sz w:val="24"/>
          <w:szCs w:val="20"/>
        </w:rPr>
      </w:pPr>
      <w:r>
        <w:rPr>
          <w:rFonts w:ascii="Times New Roman" w:hAnsi="Times New Roman" w:eastAsia="黑体"/>
          <w:color w:val="000000"/>
          <w:kern w:val="0"/>
          <w:sz w:val="24"/>
          <w:szCs w:val="20"/>
        </w:rPr>
        <w:t>信誉情况承诺函</w:t>
      </w:r>
    </w:p>
    <w:p w14:paraId="1823C1EE">
      <w:pPr>
        <w:spacing w:after="120" w:line="360" w:lineRule="auto"/>
        <w:rPr>
          <w:rFonts w:ascii="Times New Roman" w:hAnsi="Times New Roman"/>
          <w:szCs w:val="24"/>
        </w:rPr>
      </w:pPr>
      <w:r>
        <w:rPr>
          <w:rFonts w:ascii="Times New Roman" w:hAnsi="Times New Roman"/>
          <w:szCs w:val="24"/>
          <w:u w:val="single"/>
        </w:rPr>
        <w:t xml:space="preserve">             </w:t>
      </w:r>
      <w:r>
        <w:rPr>
          <w:rFonts w:ascii="Times New Roman" w:hAnsi="Times New Roman"/>
          <w:szCs w:val="24"/>
        </w:rPr>
        <w:t>(投标人名称)  郑重承诺如下：</w:t>
      </w:r>
    </w:p>
    <w:p w14:paraId="7EF67B19">
      <w:pPr>
        <w:spacing w:after="120" w:line="360" w:lineRule="auto"/>
        <w:ind w:firstLine="420" w:firstLineChars="200"/>
        <w:rPr>
          <w:rFonts w:ascii="Times New Roman" w:hAnsi="Times New Roman"/>
          <w:szCs w:val="24"/>
        </w:rPr>
      </w:pPr>
      <w:r>
        <w:rPr>
          <w:rFonts w:ascii="Times New Roman" w:hAnsi="Times New Roman"/>
          <w:szCs w:val="24"/>
        </w:rPr>
        <w:t>1、我公司未被责令停产停业、暂扣或吊销许可证、暂扣或吊销执照；</w:t>
      </w:r>
    </w:p>
    <w:p w14:paraId="6AA0653A">
      <w:pPr>
        <w:spacing w:after="120" w:line="360" w:lineRule="auto"/>
        <w:ind w:firstLine="420" w:firstLineChars="200"/>
        <w:rPr>
          <w:rFonts w:ascii="Times New Roman" w:hAnsi="Times New Roman"/>
          <w:szCs w:val="24"/>
        </w:rPr>
      </w:pPr>
      <w:r>
        <w:rPr>
          <w:rFonts w:ascii="Times New Roman" w:hAnsi="Times New Roman"/>
          <w:szCs w:val="24"/>
        </w:rPr>
        <w:t>2、我公司未被进入清算程序，或被宣告破产，或其他丧失履约能力的情形；</w:t>
      </w:r>
    </w:p>
    <w:p w14:paraId="75EBBC41">
      <w:pPr>
        <w:spacing w:after="120" w:line="360" w:lineRule="auto"/>
        <w:ind w:firstLine="420" w:firstLineChars="200"/>
        <w:rPr>
          <w:rFonts w:ascii="Times New Roman" w:hAnsi="Times New Roman"/>
          <w:szCs w:val="24"/>
        </w:rPr>
      </w:pPr>
      <w:r>
        <w:rPr>
          <w:rFonts w:ascii="Times New Roman" w:hAnsi="Times New Roman"/>
          <w:szCs w:val="24"/>
        </w:rPr>
        <w:t>3、我公司</w:t>
      </w:r>
      <w:r>
        <w:rPr>
          <w:rFonts w:hint="eastAsia" w:ascii="Times New Roman" w:hAnsi="Times New Roman"/>
          <w:szCs w:val="24"/>
        </w:rPr>
        <w:t>没有被</w:t>
      </w:r>
      <w:r>
        <w:rPr>
          <w:rFonts w:hint="eastAsia" w:ascii="Times New Roman" w:hAnsi="Times New Roman"/>
          <w:szCs w:val="24"/>
          <w:lang w:val="en-US" w:eastAsia="zh-CN"/>
        </w:rPr>
        <w:t>省级</w:t>
      </w:r>
      <w:r>
        <w:rPr>
          <w:rFonts w:hint="eastAsia" w:ascii="Times New Roman" w:hAnsi="Times New Roman"/>
          <w:szCs w:val="24"/>
        </w:rPr>
        <w:t>行业主管部门或其他有权作出处罚的部门作出取消在湖北省建设市场投标资格或禁止进入湖北建设市场的处罚且处于有效期内</w:t>
      </w:r>
      <w:r>
        <w:rPr>
          <w:rFonts w:ascii="Times New Roman" w:hAnsi="Times New Roman"/>
          <w:szCs w:val="24"/>
        </w:rPr>
        <w:t>；</w:t>
      </w:r>
    </w:p>
    <w:p w14:paraId="4D2672E2">
      <w:pPr>
        <w:spacing w:after="120" w:line="360" w:lineRule="auto"/>
        <w:ind w:firstLine="420" w:firstLineChars="200"/>
        <w:rPr>
          <w:rFonts w:ascii="Times New Roman" w:hAnsi="Times New Roman"/>
          <w:szCs w:val="24"/>
        </w:rPr>
      </w:pPr>
      <w:r>
        <w:rPr>
          <w:rFonts w:ascii="Times New Roman" w:hAnsi="Times New Roman"/>
          <w:szCs w:val="24"/>
        </w:rPr>
        <w:t>4、我公司不存在下列不良状况或不良信用记录:</w:t>
      </w:r>
    </w:p>
    <w:p w14:paraId="7FC2EA78">
      <w:pPr>
        <w:spacing w:after="120" w:line="360" w:lineRule="auto"/>
        <w:ind w:firstLine="420" w:firstLineChars="200"/>
        <w:rPr>
          <w:rFonts w:ascii="Times New Roman" w:hAnsi="Times New Roman"/>
          <w:szCs w:val="24"/>
        </w:rPr>
      </w:pPr>
      <w:r>
        <w:rPr>
          <w:rFonts w:ascii="Times New Roman" w:hAnsi="Times New Roman"/>
          <w:szCs w:val="24"/>
        </w:rPr>
        <w:t>(1)在国家企业信用信息公示系统(http://www.gsxt.gov.cn/)中被列入严重违法失信企业名单;</w:t>
      </w:r>
    </w:p>
    <w:p w14:paraId="5931D4AB">
      <w:pPr>
        <w:spacing w:after="120" w:line="360" w:lineRule="auto"/>
        <w:ind w:firstLine="420" w:firstLineChars="200"/>
        <w:rPr>
          <w:rFonts w:ascii="Times New Roman" w:hAnsi="Times New Roman"/>
          <w:szCs w:val="24"/>
        </w:rPr>
      </w:pPr>
      <w:r>
        <w:rPr>
          <w:rFonts w:ascii="Times New Roman" w:hAnsi="Times New Roman"/>
          <w:szCs w:val="24"/>
        </w:rPr>
        <w:t>(2)在“中国执行信息公开网”（http://zxgk.court.gov.cn/）中被列入失信被执行人名单;</w:t>
      </w:r>
    </w:p>
    <w:p w14:paraId="0B5975EA">
      <w:pPr>
        <w:spacing w:after="120" w:line="360" w:lineRule="auto"/>
        <w:ind w:firstLine="420" w:firstLineChars="200"/>
        <w:rPr>
          <w:rFonts w:ascii="Times New Roman" w:hAnsi="Times New Roman"/>
          <w:szCs w:val="24"/>
        </w:rPr>
      </w:pPr>
      <w:r>
        <w:rPr>
          <w:rFonts w:ascii="Times New Roman" w:hAnsi="Times New Roman"/>
          <w:szCs w:val="24"/>
        </w:rPr>
        <w:t>(3)</w:t>
      </w:r>
      <w:r>
        <w:rPr>
          <w:rFonts w:hint="eastAsia" w:ascii="Times New Roman" w:hAnsi="Times New Roman"/>
          <w:szCs w:val="21"/>
          <w:lang w:eastAsia="zh-CN"/>
        </w:rPr>
        <w:t>在近三年内投标人或其法定代表人、拟委任的项目负责人被人民法院判决为行贿罪的</w:t>
      </w:r>
      <w:r>
        <w:rPr>
          <w:rFonts w:ascii="Times New Roman" w:hAnsi="Times New Roman"/>
          <w:szCs w:val="24"/>
        </w:rPr>
        <w:t>;</w:t>
      </w:r>
    </w:p>
    <w:p w14:paraId="4CCBD6AA">
      <w:pPr>
        <w:spacing w:after="120" w:line="360" w:lineRule="auto"/>
        <w:ind w:firstLine="420" w:firstLineChars="200"/>
        <w:rPr>
          <w:rFonts w:ascii="Times New Roman" w:hAnsi="Times New Roman"/>
          <w:szCs w:val="24"/>
        </w:rPr>
      </w:pPr>
      <w:r>
        <w:rPr>
          <w:rFonts w:ascii="Times New Roman" w:hAnsi="Times New Roman"/>
          <w:szCs w:val="24"/>
        </w:rPr>
        <w:t>(4)其他在“信用中国”网站(http://www.creditchina.gov.cn/)中被列入严重失信主体名单，且按联合惩戒要求禁止参与招投标的。</w:t>
      </w:r>
    </w:p>
    <w:p w14:paraId="11B540EC">
      <w:pPr>
        <w:spacing w:after="120" w:line="360" w:lineRule="auto"/>
        <w:ind w:firstLine="420" w:firstLineChars="200"/>
        <w:rPr>
          <w:rFonts w:hint="eastAsia" w:ascii="Times New Roman" w:hAnsi="Times New Roman"/>
          <w:szCs w:val="24"/>
        </w:rPr>
      </w:pPr>
      <w:r>
        <w:rPr>
          <w:rFonts w:ascii="Times New Roman" w:hAnsi="Times New Roman"/>
          <w:szCs w:val="24"/>
        </w:rPr>
        <w:t>5、</w:t>
      </w:r>
      <w:r>
        <w:rPr>
          <w:rFonts w:hint="eastAsia" w:ascii="Times New Roman" w:hAnsi="Times New Roman"/>
          <w:szCs w:val="24"/>
        </w:rPr>
        <w:t>我公司不存在单位负责人</w:t>
      </w:r>
      <w:r>
        <w:rPr>
          <w:rFonts w:hint="eastAsia" w:ascii="Times New Roman" w:hAnsi="Times New Roman"/>
          <w:szCs w:val="24"/>
          <w:lang w:eastAsia="zh-CN"/>
        </w:rPr>
        <w:t>（</w:t>
      </w:r>
      <w:r>
        <w:rPr>
          <w:rFonts w:hint="eastAsia" w:ascii="Times New Roman" w:hAnsi="Times New Roman"/>
          <w:szCs w:val="24"/>
          <w:lang w:val="en-US" w:eastAsia="zh-CN"/>
        </w:rPr>
        <w:t>即法定代表人</w:t>
      </w:r>
      <w:r>
        <w:rPr>
          <w:rFonts w:hint="eastAsia" w:ascii="Times New Roman" w:hAnsi="Times New Roman"/>
          <w:szCs w:val="24"/>
          <w:lang w:eastAsia="zh-CN"/>
        </w:rPr>
        <w:t>）</w:t>
      </w:r>
      <w:r>
        <w:rPr>
          <w:rFonts w:hint="eastAsia" w:ascii="Times New Roman" w:hAnsi="Times New Roman"/>
          <w:szCs w:val="24"/>
        </w:rPr>
        <w:t>为同一人或者存在控股、管理关系的不同单位，同时参加本项目投标的情形。</w:t>
      </w:r>
    </w:p>
    <w:p w14:paraId="02ACCD9C">
      <w:pPr>
        <w:spacing w:after="120" w:line="360" w:lineRule="auto"/>
        <w:ind w:firstLine="420" w:firstLineChars="200"/>
        <w:rPr>
          <w:rFonts w:ascii="Times New Roman" w:hAnsi="Times New Roman"/>
          <w:szCs w:val="24"/>
        </w:rPr>
      </w:pPr>
      <w:r>
        <w:rPr>
          <w:rFonts w:hint="eastAsia" w:ascii="Times New Roman" w:hAnsi="Times New Roman"/>
          <w:szCs w:val="24"/>
          <w:lang w:val="en-US" w:eastAsia="zh-CN"/>
        </w:rPr>
        <w:t>6、</w:t>
      </w:r>
      <w:r>
        <w:rPr>
          <w:rFonts w:ascii="Times New Roman" w:hAnsi="Times New Roman"/>
          <w:szCs w:val="24"/>
        </w:rPr>
        <w:t>如在发出中标通知书之前发现我公司存在</w:t>
      </w:r>
      <w:r>
        <w:rPr>
          <w:rFonts w:hint="eastAsia"/>
          <w:lang w:val="en-US" w:eastAsia="zh-CN"/>
        </w:rPr>
        <w:t>违反</w:t>
      </w:r>
      <w:r>
        <w:rPr>
          <w:rFonts w:ascii="Times New Roman" w:hAnsi="Times New Roman"/>
          <w:szCs w:val="24"/>
        </w:rPr>
        <w:t>上述1~</w:t>
      </w:r>
      <w:r>
        <w:rPr>
          <w:rFonts w:hint="eastAsia" w:ascii="Times New Roman" w:hAnsi="Times New Roman"/>
          <w:szCs w:val="24"/>
          <w:lang w:val="en-US" w:eastAsia="zh-CN"/>
        </w:rPr>
        <w:t>5</w:t>
      </w:r>
      <w:r>
        <w:rPr>
          <w:rFonts w:ascii="Times New Roman" w:hAnsi="Times New Roman"/>
          <w:szCs w:val="24"/>
        </w:rPr>
        <w:t>条所列情形，招标人有权取消我公司中标资格。</w:t>
      </w:r>
    </w:p>
    <w:p w14:paraId="65A95C61">
      <w:pPr>
        <w:spacing w:after="120" w:line="360" w:lineRule="auto"/>
        <w:ind w:firstLine="420" w:firstLineChars="200"/>
        <w:rPr>
          <w:rFonts w:ascii="Times New Roman" w:hAnsi="Times New Roman"/>
          <w:szCs w:val="24"/>
        </w:rPr>
      </w:pPr>
      <w:r>
        <w:rPr>
          <w:rFonts w:hint="eastAsia" w:ascii="Times New Roman" w:hAnsi="Times New Roman"/>
          <w:szCs w:val="24"/>
          <w:lang w:val="en-US" w:eastAsia="zh-CN"/>
        </w:rPr>
        <w:t>7</w:t>
      </w:r>
      <w:r>
        <w:rPr>
          <w:rFonts w:ascii="Times New Roman" w:hAnsi="Times New Roman"/>
          <w:szCs w:val="24"/>
        </w:rPr>
        <w:t>、我公司承诺以上信息均属实，如发现我公司存在漏报、瞒报或虚假填报的，我公司将接受招标人及有关行政主管部门按弄虚作假处理我公司的投标行为。</w:t>
      </w:r>
    </w:p>
    <w:p w14:paraId="5CC3C609">
      <w:pPr>
        <w:spacing w:after="120" w:line="360" w:lineRule="auto"/>
        <w:ind w:firstLine="420" w:firstLineChars="200"/>
        <w:rPr>
          <w:rFonts w:hint="eastAsia" w:ascii="Times New Roman" w:hAnsi="Times New Roman"/>
          <w:szCs w:val="24"/>
        </w:rPr>
      </w:pPr>
      <w:r>
        <w:rPr>
          <w:rFonts w:hint="eastAsia" w:ascii="Times New Roman" w:hAnsi="Times New Roman"/>
          <w:szCs w:val="24"/>
          <w:lang w:val="en-US" w:eastAsia="zh-CN"/>
        </w:rPr>
        <w:t>8</w:t>
      </w:r>
      <w:r>
        <w:rPr>
          <w:rFonts w:hint="eastAsia" w:ascii="Times New Roman" w:hAnsi="Times New Roman"/>
          <w:szCs w:val="24"/>
        </w:rPr>
        <w:t>、我公司承诺：为了核实投标文件信息的真实性或配合招标人处理异议，同意按招标人书面通知要求的合理时间内，配合提供相关资料、证书原件及其它相关证明材料原件。</w:t>
      </w:r>
    </w:p>
    <w:p w14:paraId="2D2FE6D5">
      <w:pPr>
        <w:spacing w:after="120" w:line="360" w:lineRule="auto"/>
        <w:ind w:firstLine="420" w:firstLineChars="200"/>
        <w:rPr>
          <w:rFonts w:ascii="Times New Roman" w:hAnsi="Times New Roman"/>
          <w:szCs w:val="24"/>
        </w:rPr>
      </w:pPr>
      <w:r>
        <w:rPr>
          <w:rFonts w:hint="eastAsia" w:ascii="Times New Roman" w:hAnsi="Times New Roman"/>
          <w:szCs w:val="24"/>
        </w:rPr>
        <w:t>我公司承诺：如未能在招标人书面通知的合理时间内提供相关资料或证书原件或其它相关证明材料原件的，或提供的原件与投标文件不符，或存在弄虚作假行为的，接受招标人取消我公司中标资格并报行政主管部门作为不良记录纳入全国公路建设市场监督管理系统。</w:t>
      </w:r>
    </w:p>
    <w:p w14:paraId="43AD220D">
      <w:pPr>
        <w:spacing w:after="120"/>
        <w:jc w:val="right"/>
        <w:rPr>
          <w:rFonts w:ascii="Times New Roman" w:hAnsi="Times New Roman"/>
          <w:szCs w:val="24"/>
        </w:rPr>
      </w:pPr>
      <w:r>
        <w:rPr>
          <w:rFonts w:ascii="Times New Roman" w:hAnsi="Times New Roman"/>
          <w:szCs w:val="24"/>
        </w:rPr>
        <w:t>投 标 人：</w:t>
      </w:r>
      <w:r>
        <w:rPr>
          <w:rFonts w:ascii="Times New Roman" w:hAnsi="Times New Roman"/>
          <w:szCs w:val="24"/>
          <w:u w:val="single"/>
        </w:rPr>
        <w:t xml:space="preserve">                      </w:t>
      </w:r>
      <w:r>
        <w:rPr>
          <w:rFonts w:ascii="Times New Roman" w:hAnsi="Times New Roman"/>
          <w:szCs w:val="24"/>
        </w:rPr>
        <w:t>(盖单位章)</w:t>
      </w:r>
    </w:p>
    <w:p w14:paraId="71A4FABF">
      <w:pPr>
        <w:spacing w:after="120"/>
        <w:jc w:val="right"/>
        <w:rPr>
          <w:rFonts w:ascii="Times New Roman" w:hAnsi="Times New Roman"/>
          <w:szCs w:val="24"/>
        </w:rPr>
      </w:pPr>
      <w:r>
        <w:rPr>
          <w:rFonts w:ascii="Times New Roman" w:hAnsi="Times New Roman"/>
          <w:szCs w:val="24"/>
          <w:u w:val="single"/>
        </w:rPr>
        <w:t xml:space="preserve">       </w:t>
      </w:r>
      <w:r>
        <w:rPr>
          <w:rFonts w:ascii="Times New Roman" w:hAnsi="Times New Roman"/>
          <w:szCs w:val="24"/>
        </w:rPr>
        <w:t>年</w:t>
      </w:r>
      <w:r>
        <w:rPr>
          <w:rFonts w:ascii="Times New Roman" w:hAnsi="Times New Roman"/>
          <w:szCs w:val="24"/>
          <w:u w:val="single"/>
        </w:rPr>
        <w:t xml:space="preserve">       </w:t>
      </w:r>
      <w:r>
        <w:rPr>
          <w:rFonts w:ascii="Times New Roman" w:hAnsi="Times New Roman"/>
          <w:szCs w:val="24"/>
        </w:rPr>
        <w:t>月</w:t>
      </w:r>
      <w:r>
        <w:rPr>
          <w:rFonts w:ascii="Times New Roman" w:hAnsi="Times New Roman"/>
          <w:szCs w:val="24"/>
          <w:u w:val="single"/>
        </w:rPr>
        <w:t xml:space="preserve">       </w:t>
      </w:r>
      <w:r>
        <w:rPr>
          <w:rFonts w:ascii="Times New Roman" w:hAnsi="Times New Roman"/>
          <w:szCs w:val="24"/>
        </w:rPr>
        <w:t>日</w:t>
      </w:r>
    </w:p>
    <w:p w14:paraId="1C9E3350">
      <w:pPr>
        <w:pStyle w:val="65"/>
      </w:pPr>
      <w:r>
        <w:br w:type="page"/>
      </w:r>
    </w:p>
    <w:p w14:paraId="64E73E50">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pPr>
      <w:bookmarkStart w:id="346" w:name="_Toc256000055"/>
      <w:bookmarkStart w:id="347" w:name="_Toc16367"/>
      <w:bookmarkStart w:id="348" w:name="_Toc27598"/>
      <w:r>
        <w:rPr>
          <w:rFonts w:ascii="Times New Roman" w:hAnsi="Times New Roman" w:eastAsia="黑体" w:cs="Times New Roman"/>
          <w:bCs/>
          <w:kern w:val="2"/>
          <w:sz w:val="28"/>
          <w:szCs w:val="32"/>
          <w:lang w:val="en-US" w:eastAsia="zh-CN" w:bidi="ar-SA"/>
        </w:rPr>
        <w:t>（七） 拟委任的主要人员汇总表</w:t>
      </w:r>
      <w:bookmarkEnd w:id="346"/>
      <w:bookmarkEnd w:id="347"/>
      <w:bookmarkEnd w:id="348"/>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941"/>
        <w:gridCol w:w="810"/>
        <w:gridCol w:w="1073"/>
        <w:gridCol w:w="941"/>
        <w:gridCol w:w="1073"/>
        <w:gridCol w:w="678"/>
        <w:gridCol w:w="1203"/>
        <w:gridCol w:w="940"/>
      </w:tblGrid>
      <w:tr w14:paraId="20F91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61" w:type="dxa"/>
            <w:vMerge w:val="restart"/>
            <w:noWrap w:val="0"/>
            <w:vAlign w:val="center"/>
          </w:tcPr>
          <w:p w14:paraId="3A134293">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序号</w:t>
            </w:r>
          </w:p>
        </w:tc>
        <w:tc>
          <w:tcPr>
            <w:tcW w:w="941" w:type="dxa"/>
            <w:vMerge w:val="restart"/>
            <w:noWrap w:val="0"/>
            <w:vAlign w:val="center"/>
          </w:tcPr>
          <w:p w14:paraId="05AA5013">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本标段任职</w:t>
            </w:r>
          </w:p>
        </w:tc>
        <w:tc>
          <w:tcPr>
            <w:tcW w:w="810" w:type="dxa"/>
            <w:vMerge w:val="restart"/>
            <w:noWrap w:val="0"/>
            <w:vAlign w:val="center"/>
          </w:tcPr>
          <w:p w14:paraId="1A62A08E">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姓名</w:t>
            </w:r>
          </w:p>
        </w:tc>
        <w:tc>
          <w:tcPr>
            <w:tcW w:w="1073" w:type="dxa"/>
            <w:vMerge w:val="restart"/>
            <w:noWrap w:val="0"/>
            <w:vAlign w:val="center"/>
          </w:tcPr>
          <w:p w14:paraId="4A1B824C">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技术职称</w:t>
            </w:r>
          </w:p>
        </w:tc>
        <w:tc>
          <w:tcPr>
            <w:tcW w:w="941" w:type="dxa"/>
            <w:vMerge w:val="restart"/>
            <w:noWrap w:val="0"/>
            <w:vAlign w:val="center"/>
          </w:tcPr>
          <w:p w14:paraId="66B5898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专业</w:t>
            </w:r>
          </w:p>
        </w:tc>
        <w:tc>
          <w:tcPr>
            <w:tcW w:w="2954" w:type="dxa"/>
            <w:gridSpan w:val="3"/>
            <w:noWrap w:val="0"/>
            <w:vAlign w:val="center"/>
          </w:tcPr>
          <w:p w14:paraId="2CD8A737">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执业（职业）资格证明</w:t>
            </w:r>
          </w:p>
        </w:tc>
        <w:tc>
          <w:tcPr>
            <w:tcW w:w="940" w:type="dxa"/>
            <w:vMerge w:val="restart"/>
            <w:noWrap w:val="0"/>
            <w:vAlign w:val="center"/>
          </w:tcPr>
          <w:p w14:paraId="7BC42738">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备注</w:t>
            </w:r>
          </w:p>
        </w:tc>
      </w:tr>
      <w:tr w14:paraId="26BB3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61" w:type="dxa"/>
            <w:vMerge w:val="continue"/>
            <w:noWrap w:val="0"/>
            <w:vAlign w:val="center"/>
          </w:tcPr>
          <w:p w14:paraId="4F37E5D7">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vMerge w:val="continue"/>
            <w:noWrap w:val="0"/>
            <w:vAlign w:val="center"/>
          </w:tcPr>
          <w:p w14:paraId="72558FDB">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vMerge w:val="continue"/>
            <w:noWrap w:val="0"/>
            <w:vAlign w:val="center"/>
          </w:tcPr>
          <w:p w14:paraId="1BC1CDF0">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vMerge w:val="continue"/>
            <w:noWrap w:val="0"/>
            <w:vAlign w:val="center"/>
          </w:tcPr>
          <w:p w14:paraId="0381798B">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vMerge w:val="continue"/>
            <w:noWrap w:val="0"/>
            <w:vAlign w:val="center"/>
          </w:tcPr>
          <w:p w14:paraId="6D35C52A">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27D0075A">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证书名称</w:t>
            </w:r>
          </w:p>
        </w:tc>
        <w:tc>
          <w:tcPr>
            <w:tcW w:w="678" w:type="dxa"/>
            <w:noWrap w:val="0"/>
            <w:vAlign w:val="center"/>
          </w:tcPr>
          <w:p w14:paraId="6303A325">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级别</w:t>
            </w:r>
          </w:p>
        </w:tc>
        <w:tc>
          <w:tcPr>
            <w:tcW w:w="1203" w:type="dxa"/>
            <w:noWrap w:val="0"/>
            <w:vAlign w:val="center"/>
          </w:tcPr>
          <w:p w14:paraId="0FD165A2">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证号</w:t>
            </w:r>
          </w:p>
        </w:tc>
        <w:tc>
          <w:tcPr>
            <w:tcW w:w="940" w:type="dxa"/>
            <w:vMerge w:val="continue"/>
            <w:noWrap w:val="0"/>
            <w:vAlign w:val="center"/>
          </w:tcPr>
          <w:p w14:paraId="0DCF408F">
            <w:pPr>
              <w:widowControl w:val="0"/>
              <w:spacing w:line="440" w:lineRule="exact"/>
              <w:jc w:val="center"/>
              <w:rPr>
                <w:rFonts w:ascii="Times New Roman" w:hAnsi="Times New Roman" w:eastAsia="宋体" w:cs="Times New Roman"/>
                <w:kern w:val="2"/>
                <w:sz w:val="21"/>
                <w:szCs w:val="21"/>
                <w:lang w:val="en-US" w:eastAsia="zh-CN" w:bidi="ar-SA"/>
              </w:rPr>
            </w:pPr>
          </w:p>
        </w:tc>
      </w:tr>
      <w:tr w14:paraId="515D7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1" w:type="dxa"/>
            <w:noWrap w:val="0"/>
            <w:vAlign w:val="center"/>
          </w:tcPr>
          <w:p w14:paraId="2DE1BE1A">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2818A3A5">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36074EDC">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3A23B427">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59AA115B">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09C0CD03">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7F4A5987">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00AFF60E">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4799A410">
            <w:pPr>
              <w:widowControl w:val="0"/>
              <w:spacing w:line="440" w:lineRule="exact"/>
              <w:jc w:val="center"/>
              <w:rPr>
                <w:rFonts w:ascii="Times New Roman" w:hAnsi="Times New Roman" w:eastAsia="宋体" w:cs="Times New Roman"/>
                <w:kern w:val="2"/>
                <w:sz w:val="21"/>
                <w:szCs w:val="21"/>
                <w:lang w:val="en-US" w:eastAsia="zh-CN" w:bidi="ar-SA"/>
              </w:rPr>
            </w:pPr>
          </w:p>
        </w:tc>
      </w:tr>
      <w:tr w14:paraId="40CE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61" w:type="dxa"/>
            <w:noWrap w:val="0"/>
            <w:vAlign w:val="center"/>
          </w:tcPr>
          <w:p w14:paraId="1FEEE55A">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4BEC95CF">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3DE31877">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065B4900">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7DCEDCD3">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5D2D3728">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76F7FACB">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18B4A445">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109145D1">
            <w:pPr>
              <w:widowControl w:val="0"/>
              <w:spacing w:line="440" w:lineRule="exact"/>
              <w:jc w:val="center"/>
              <w:rPr>
                <w:rFonts w:ascii="Times New Roman" w:hAnsi="Times New Roman" w:eastAsia="宋体" w:cs="Times New Roman"/>
                <w:kern w:val="2"/>
                <w:sz w:val="21"/>
                <w:szCs w:val="21"/>
                <w:lang w:val="en-US" w:eastAsia="zh-CN" w:bidi="ar-SA"/>
              </w:rPr>
            </w:pPr>
          </w:p>
        </w:tc>
      </w:tr>
      <w:tr w14:paraId="07E4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61" w:type="dxa"/>
            <w:noWrap w:val="0"/>
            <w:vAlign w:val="center"/>
          </w:tcPr>
          <w:p w14:paraId="32FD87B4">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6D825D9B">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48039BBA">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74F0A751">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7603149A">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05E9E476">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729F101B">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4904C9DF">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3CC023A3">
            <w:pPr>
              <w:widowControl w:val="0"/>
              <w:spacing w:line="440" w:lineRule="exact"/>
              <w:jc w:val="center"/>
              <w:rPr>
                <w:rFonts w:ascii="Times New Roman" w:hAnsi="Times New Roman" w:eastAsia="宋体" w:cs="Times New Roman"/>
                <w:kern w:val="2"/>
                <w:sz w:val="21"/>
                <w:szCs w:val="21"/>
                <w:lang w:val="en-US" w:eastAsia="zh-CN" w:bidi="ar-SA"/>
              </w:rPr>
            </w:pPr>
          </w:p>
        </w:tc>
      </w:tr>
      <w:tr w14:paraId="7BD1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61" w:type="dxa"/>
            <w:noWrap w:val="0"/>
            <w:vAlign w:val="center"/>
          </w:tcPr>
          <w:p w14:paraId="2E974326">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36DB1EB9">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7A010090">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53E5D29C">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614FFF5D">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1D3B3EE8">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0D9BA62A">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58F58170">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49F623A4">
            <w:pPr>
              <w:widowControl w:val="0"/>
              <w:spacing w:line="440" w:lineRule="exact"/>
              <w:jc w:val="center"/>
              <w:rPr>
                <w:rFonts w:ascii="Times New Roman" w:hAnsi="Times New Roman" w:eastAsia="宋体" w:cs="Times New Roman"/>
                <w:kern w:val="2"/>
                <w:sz w:val="21"/>
                <w:szCs w:val="21"/>
                <w:lang w:val="en-US" w:eastAsia="zh-CN" w:bidi="ar-SA"/>
              </w:rPr>
            </w:pPr>
          </w:p>
        </w:tc>
      </w:tr>
      <w:tr w14:paraId="6B87D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61" w:type="dxa"/>
            <w:noWrap w:val="0"/>
            <w:vAlign w:val="center"/>
          </w:tcPr>
          <w:p w14:paraId="17E35BF6">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12CFE164">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31A5BAA1">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332B9F33">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4971218F">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28388FC3">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003EAEE8">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1F53511D">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5A5C7C42">
            <w:pPr>
              <w:widowControl w:val="0"/>
              <w:spacing w:line="440" w:lineRule="exact"/>
              <w:jc w:val="center"/>
              <w:rPr>
                <w:rFonts w:ascii="Times New Roman" w:hAnsi="Times New Roman" w:eastAsia="宋体" w:cs="Times New Roman"/>
                <w:kern w:val="2"/>
                <w:sz w:val="21"/>
                <w:szCs w:val="21"/>
                <w:lang w:val="en-US" w:eastAsia="zh-CN" w:bidi="ar-SA"/>
              </w:rPr>
            </w:pPr>
          </w:p>
        </w:tc>
      </w:tr>
      <w:tr w14:paraId="48B29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61" w:type="dxa"/>
            <w:noWrap w:val="0"/>
            <w:vAlign w:val="center"/>
          </w:tcPr>
          <w:p w14:paraId="74D589A3">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34305C43">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0E14B0E3">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6AA0A322">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72C1E90A">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7712D7B7">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76D27071">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0E2F098A">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46AE023D">
            <w:pPr>
              <w:widowControl w:val="0"/>
              <w:spacing w:line="440" w:lineRule="exact"/>
              <w:jc w:val="center"/>
              <w:rPr>
                <w:rFonts w:ascii="Times New Roman" w:hAnsi="Times New Roman" w:eastAsia="宋体" w:cs="Times New Roman"/>
                <w:kern w:val="2"/>
                <w:sz w:val="21"/>
                <w:szCs w:val="21"/>
                <w:lang w:val="en-US" w:eastAsia="zh-CN" w:bidi="ar-SA"/>
              </w:rPr>
            </w:pPr>
          </w:p>
        </w:tc>
      </w:tr>
      <w:tr w14:paraId="7ED0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61" w:type="dxa"/>
            <w:noWrap w:val="0"/>
            <w:vAlign w:val="center"/>
          </w:tcPr>
          <w:p w14:paraId="205D4F97">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7F730C92">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2161490A">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24E7658D">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467A4990">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06E48207">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57CE2DB4">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2ACD3354">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4892CED1">
            <w:pPr>
              <w:widowControl w:val="0"/>
              <w:spacing w:line="440" w:lineRule="exact"/>
              <w:jc w:val="center"/>
              <w:rPr>
                <w:rFonts w:ascii="Times New Roman" w:hAnsi="Times New Roman" w:eastAsia="宋体" w:cs="Times New Roman"/>
                <w:kern w:val="2"/>
                <w:sz w:val="21"/>
                <w:szCs w:val="21"/>
                <w:lang w:val="en-US" w:eastAsia="zh-CN" w:bidi="ar-SA"/>
              </w:rPr>
            </w:pPr>
          </w:p>
        </w:tc>
      </w:tr>
      <w:tr w14:paraId="2B2F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61" w:type="dxa"/>
            <w:noWrap w:val="0"/>
            <w:vAlign w:val="center"/>
          </w:tcPr>
          <w:p w14:paraId="6461ADDB">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05A6BCED">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7D76D3F5">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19476689">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55DADCB5">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1703B999">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627CEAEC">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23C5C037">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6E256943">
            <w:pPr>
              <w:widowControl w:val="0"/>
              <w:spacing w:line="440" w:lineRule="exact"/>
              <w:jc w:val="center"/>
              <w:rPr>
                <w:rFonts w:ascii="Times New Roman" w:hAnsi="Times New Roman" w:eastAsia="宋体" w:cs="Times New Roman"/>
                <w:kern w:val="2"/>
                <w:sz w:val="21"/>
                <w:szCs w:val="21"/>
                <w:lang w:val="en-US" w:eastAsia="zh-CN" w:bidi="ar-SA"/>
              </w:rPr>
            </w:pPr>
          </w:p>
        </w:tc>
      </w:tr>
      <w:tr w14:paraId="0961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61" w:type="dxa"/>
            <w:noWrap w:val="0"/>
            <w:vAlign w:val="center"/>
          </w:tcPr>
          <w:p w14:paraId="0779E917">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79624B49">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72B1935B">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2CB9B9BB">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6CC13CCC">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501865B3">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243F22DE">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66E5DC21">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35CFF77B">
            <w:pPr>
              <w:widowControl w:val="0"/>
              <w:spacing w:line="440" w:lineRule="exact"/>
              <w:jc w:val="center"/>
              <w:rPr>
                <w:rFonts w:ascii="Times New Roman" w:hAnsi="Times New Roman" w:eastAsia="宋体" w:cs="Times New Roman"/>
                <w:kern w:val="2"/>
                <w:sz w:val="21"/>
                <w:szCs w:val="21"/>
                <w:lang w:val="en-US" w:eastAsia="zh-CN" w:bidi="ar-SA"/>
              </w:rPr>
            </w:pPr>
          </w:p>
        </w:tc>
      </w:tr>
      <w:tr w14:paraId="575CC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61" w:type="dxa"/>
            <w:noWrap w:val="0"/>
            <w:vAlign w:val="center"/>
          </w:tcPr>
          <w:p w14:paraId="18AEDDAF">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1DCF9B9F">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599E9BEE">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1230C2C6">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51D16FEE">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7367FD95">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0BD091DB">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4B2CE2A5">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503B6B29">
            <w:pPr>
              <w:widowControl w:val="0"/>
              <w:spacing w:line="440" w:lineRule="exact"/>
              <w:jc w:val="center"/>
              <w:rPr>
                <w:rFonts w:ascii="Times New Roman" w:hAnsi="Times New Roman" w:eastAsia="宋体" w:cs="Times New Roman"/>
                <w:kern w:val="2"/>
                <w:sz w:val="21"/>
                <w:szCs w:val="21"/>
                <w:lang w:val="en-US" w:eastAsia="zh-CN" w:bidi="ar-SA"/>
              </w:rPr>
            </w:pPr>
          </w:p>
        </w:tc>
      </w:tr>
      <w:tr w14:paraId="1574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61" w:type="dxa"/>
            <w:noWrap w:val="0"/>
            <w:vAlign w:val="center"/>
          </w:tcPr>
          <w:p w14:paraId="082E7CDD">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715F22F0">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1AFE797F">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3ABD8968">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046EC648">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1A71E5C9">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662C5BCC">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56DBCAD3">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272000AE">
            <w:pPr>
              <w:widowControl w:val="0"/>
              <w:spacing w:line="440" w:lineRule="exact"/>
              <w:jc w:val="center"/>
              <w:rPr>
                <w:rFonts w:ascii="Times New Roman" w:hAnsi="Times New Roman" w:eastAsia="宋体" w:cs="Times New Roman"/>
                <w:kern w:val="2"/>
                <w:sz w:val="21"/>
                <w:szCs w:val="21"/>
                <w:lang w:val="en-US" w:eastAsia="zh-CN" w:bidi="ar-SA"/>
              </w:rPr>
            </w:pPr>
          </w:p>
        </w:tc>
      </w:tr>
      <w:tr w14:paraId="16A2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61" w:type="dxa"/>
            <w:noWrap w:val="0"/>
            <w:vAlign w:val="center"/>
          </w:tcPr>
          <w:p w14:paraId="4B57E034">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44F90717">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2AE8C3A0">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259DF934">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448B13D2">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6760E765">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5D2E065E">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0AEDBCC2">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32C8B89A">
            <w:pPr>
              <w:widowControl w:val="0"/>
              <w:spacing w:line="440" w:lineRule="exact"/>
              <w:jc w:val="center"/>
              <w:rPr>
                <w:rFonts w:ascii="Times New Roman" w:hAnsi="Times New Roman" w:eastAsia="宋体" w:cs="Times New Roman"/>
                <w:kern w:val="2"/>
                <w:sz w:val="21"/>
                <w:szCs w:val="21"/>
                <w:lang w:val="en-US" w:eastAsia="zh-CN" w:bidi="ar-SA"/>
              </w:rPr>
            </w:pPr>
          </w:p>
        </w:tc>
      </w:tr>
      <w:tr w14:paraId="42F3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61" w:type="dxa"/>
            <w:noWrap w:val="0"/>
            <w:vAlign w:val="center"/>
          </w:tcPr>
          <w:p w14:paraId="0FC1F24A">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55D97D2D">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39987302">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0D3D25FC">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11854AE3">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3E0BF835">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3ED0F2DE">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3CDF3570">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554187EB">
            <w:pPr>
              <w:widowControl w:val="0"/>
              <w:spacing w:line="440" w:lineRule="exact"/>
              <w:jc w:val="center"/>
              <w:rPr>
                <w:rFonts w:ascii="Times New Roman" w:hAnsi="Times New Roman" w:eastAsia="宋体" w:cs="Times New Roman"/>
                <w:kern w:val="2"/>
                <w:sz w:val="21"/>
                <w:szCs w:val="21"/>
                <w:lang w:val="en-US" w:eastAsia="zh-CN" w:bidi="ar-SA"/>
              </w:rPr>
            </w:pPr>
          </w:p>
        </w:tc>
      </w:tr>
      <w:tr w14:paraId="47080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61" w:type="dxa"/>
            <w:noWrap w:val="0"/>
            <w:vAlign w:val="center"/>
          </w:tcPr>
          <w:p w14:paraId="578F89D6">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55547BA6">
            <w:pPr>
              <w:widowControl w:val="0"/>
              <w:spacing w:line="440" w:lineRule="exact"/>
              <w:jc w:val="center"/>
              <w:rPr>
                <w:rFonts w:ascii="Times New Roman" w:hAnsi="Times New Roman" w:eastAsia="宋体" w:cs="Times New Roman"/>
                <w:kern w:val="2"/>
                <w:sz w:val="21"/>
                <w:szCs w:val="21"/>
                <w:lang w:val="en-US" w:eastAsia="zh-CN" w:bidi="ar-SA"/>
              </w:rPr>
            </w:pPr>
          </w:p>
        </w:tc>
        <w:tc>
          <w:tcPr>
            <w:tcW w:w="810" w:type="dxa"/>
            <w:noWrap w:val="0"/>
            <w:vAlign w:val="center"/>
          </w:tcPr>
          <w:p w14:paraId="1FAE98C0">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42AB9BA3">
            <w:pPr>
              <w:widowControl w:val="0"/>
              <w:spacing w:line="440" w:lineRule="exact"/>
              <w:jc w:val="center"/>
              <w:rPr>
                <w:rFonts w:ascii="Times New Roman" w:hAnsi="Times New Roman" w:eastAsia="宋体" w:cs="Times New Roman"/>
                <w:kern w:val="2"/>
                <w:sz w:val="21"/>
                <w:szCs w:val="21"/>
                <w:lang w:val="en-US" w:eastAsia="zh-CN" w:bidi="ar-SA"/>
              </w:rPr>
            </w:pPr>
          </w:p>
        </w:tc>
        <w:tc>
          <w:tcPr>
            <w:tcW w:w="941" w:type="dxa"/>
            <w:noWrap w:val="0"/>
            <w:vAlign w:val="center"/>
          </w:tcPr>
          <w:p w14:paraId="65C58EC0">
            <w:pPr>
              <w:widowControl w:val="0"/>
              <w:spacing w:line="440" w:lineRule="exact"/>
              <w:jc w:val="center"/>
              <w:rPr>
                <w:rFonts w:ascii="Times New Roman" w:hAnsi="Times New Roman" w:eastAsia="宋体" w:cs="Times New Roman"/>
                <w:kern w:val="2"/>
                <w:sz w:val="21"/>
                <w:szCs w:val="21"/>
                <w:lang w:val="en-US" w:eastAsia="zh-CN" w:bidi="ar-SA"/>
              </w:rPr>
            </w:pPr>
          </w:p>
        </w:tc>
        <w:tc>
          <w:tcPr>
            <w:tcW w:w="1073" w:type="dxa"/>
            <w:noWrap w:val="0"/>
            <w:vAlign w:val="center"/>
          </w:tcPr>
          <w:p w14:paraId="4A428711">
            <w:pPr>
              <w:widowControl w:val="0"/>
              <w:spacing w:line="440" w:lineRule="exact"/>
              <w:jc w:val="center"/>
              <w:rPr>
                <w:rFonts w:ascii="Times New Roman" w:hAnsi="Times New Roman" w:eastAsia="宋体" w:cs="Times New Roman"/>
                <w:kern w:val="2"/>
                <w:sz w:val="21"/>
                <w:szCs w:val="21"/>
                <w:lang w:val="en-US" w:eastAsia="zh-CN" w:bidi="ar-SA"/>
              </w:rPr>
            </w:pPr>
          </w:p>
        </w:tc>
        <w:tc>
          <w:tcPr>
            <w:tcW w:w="678" w:type="dxa"/>
            <w:noWrap w:val="0"/>
            <w:vAlign w:val="center"/>
          </w:tcPr>
          <w:p w14:paraId="5A5DDA44">
            <w:pPr>
              <w:widowControl w:val="0"/>
              <w:spacing w:line="440" w:lineRule="exact"/>
              <w:jc w:val="center"/>
              <w:rPr>
                <w:rFonts w:ascii="Times New Roman" w:hAnsi="Times New Roman" w:eastAsia="宋体" w:cs="Times New Roman"/>
                <w:kern w:val="2"/>
                <w:sz w:val="21"/>
                <w:szCs w:val="21"/>
                <w:lang w:val="en-US" w:eastAsia="zh-CN" w:bidi="ar-SA"/>
              </w:rPr>
            </w:pPr>
          </w:p>
        </w:tc>
        <w:tc>
          <w:tcPr>
            <w:tcW w:w="1203" w:type="dxa"/>
            <w:noWrap w:val="0"/>
            <w:vAlign w:val="center"/>
          </w:tcPr>
          <w:p w14:paraId="79E555D9">
            <w:pPr>
              <w:widowControl w:val="0"/>
              <w:spacing w:line="440" w:lineRule="exact"/>
              <w:jc w:val="center"/>
              <w:rPr>
                <w:rFonts w:ascii="Times New Roman" w:hAnsi="Times New Roman" w:eastAsia="宋体" w:cs="Times New Roman"/>
                <w:kern w:val="2"/>
                <w:sz w:val="21"/>
                <w:szCs w:val="21"/>
                <w:lang w:val="en-US" w:eastAsia="zh-CN" w:bidi="ar-SA"/>
              </w:rPr>
            </w:pPr>
          </w:p>
        </w:tc>
        <w:tc>
          <w:tcPr>
            <w:tcW w:w="940" w:type="dxa"/>
            <w:noWrap w:val="0"/>
            <w:vAlign w:val="center"/>
          </w:tcPr>
          <w:p w14:paraId="115F0276">
            <w:pPr>
              <w:widowControl w:val="0"/>
              <w:spacing w:line="440" w:lineRule="exact"/>
              <w:jc w:val="center"/>
              <w:rPr>
                <w:rFonts w:ascii="Times New Roman" w:hAnsi="Times New Roman" w:eastAsia="宋体" w:cs="Times New Roman"/>
                <w:kern w:val="2"/>
                <w:sz w:val="21"/>
                <w:szCs w:val="21"/>
                <w:lang w:val="en-US" w:eastAsia="zh-CN" w:bidi="ar-SA"/>
              </w:rPr>
            </w:pPr>
          </w:p>
        </w:tc>
      </w:tr>
    </w:tbl>
    <w:p w14:paraId="0470CCD2">
      <w:pPr>
        <w:pStyle w:val="63"/>
        <w:ind w:firstLine="420"/>
        <w:rPr>
          <w:rFonts w:ascii="Times New Roman" w:hAnsi="Times New Roman"/>
          <w:highlight w:val="none"/>
        </w:rPr>
      </w:pPr>
      <w:r>
        <w:rPr>
          <w:rFonts w:ascii="Times New Roman" w:hAnsi="Times New Roman" w:eastAsia="黑体"/>
          <w:szCs w:val="21"/>
          <w:highlight w:val="none"/>
        </w:rPr>
        <w:t>备注：</w:t>
      </w:r>
      <w:r>
        <w:rPr>
          <w:rFonts w:hint="eastAsia" w:ascii="Times New Roman" w:hAnsi="Times New Roman" w:eastAsia="黑体"/>
          <w:szCs w:val="21"/>
          <w:highlight w:val="none"/>
          <w:lang w:val="en-US" w:eastAsia="zh-CN"/>
        </w:rPr>
        <w:t>本项目可不填写</w:t>
      </w:r>
      <w:r>
        <w:rPr>
          <w:rFonts w:ascii="Times New Roman" w:hAnsi="Times New Roman" w:eastAsia="黑体"/>
          <w:szCs w:val="21"/>
          <w:highlight w:val="none"/>
        </w:rPr>
        <w:t>。</w:t>
      </w:r>
    </w:p>
    <w:p w14:paraId="5ADCA803">
      <w:pPr>
        <w:pStyle w:val="67"/>
      </w:pPr>
      <w:r>
        <w:br w:type="page"/>
      </w:r>
    </w:p>
    <w:p w14:paraId="1A8278A9">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pPr>
      <w:bookmarkStart w:id="349" w:name="_Toc12997"/>
      <w:bookmarkStart w:id="350" w:name="_Toc11858"/>
      <w:bookmarkStart w:id="351" w:name="_Toc256000056"/>
      <w:r>
        <w:rPr>
          <w:rFonts w:ascii="Times New Roman" w:hAnsi="Times New Roman" w:eastAsia="黑体" w:cs="Times New Roman"/>
          <w:bCs/>
          <w:kern w:val="2"/>
          <w:sz w:val="28"/>
          <w:szCs w:val="32"/>
          <w:lang w:val="en-US" w:eastAsia="zh-CN" w:bidi="ar-SA"/>
        </w:rPr>
        <w:t>（八） 主要人员简历表</w:t>
      </w:r>
      <w:bookmarkEnd w:id="349"/>
      <w:bookmarkEnd w:id="350"/>
      <w:bookmarkEnd w:id="351"/>
    </w:p>
    <w:p w14:paraId="558D5006">
      <w:pPr>
        <w:widowControl w:val="0"/>
        <w:spacing w:line="360" w:lineRule="auto"/>
        <w:jc w:val="center"/>
        <w:rPr>
          <w:rFonts w:ascii="Times New Roman" w:hAnsi="Times New Roman" w:eastAsia="黑体" w:cs="Times New Roman"/>
          <w:bCs/>
          <w:kern w:val="2"/>
          <w:sz w:val="28"/>
          <w:szCs w:val="32"/>
          <w:lang w:val="en-US" w:eastAsia="zh-CN" w:bidi="ar-SA"/>
        </w:rPr>
      </w:pPr>
      <w:r>
        <w:rPr>
          <w:rFonts w:ascii="Times New Roman" w:hAnsi="Times New Roman" w:eastAsia="黑体" w:cs="Times New Roman"/>
          <w:bCs/>
          <w:kern w:val="2"/>
          <w:sz w:val="28"/>
          <w:szCs w:val="32"/>
          <w:lang w:val="en-US" w:eastAsia="zh-CN" w:bidi="ar-SA"/>
        </w:rPr>
        <w:t>A 项目负责人</w:t>
      </w:r>
      <w:r>
        <w:rPr>
          <w:rFonts w:hint="eastAsia" w:ascii="Times New Roman" w:hAnsi="Times New Roman" w:eastAsia="黑体" w:cs="Times New Roman"/>
          <w:bCs/>
          <w:kern w:val="2"/>
          <w:sz w:val="28"/>
          <w:szCs w:val="32"/>
          <w:lang w:val="en-US" w:eastAsia="zh-CN" w:bidi="ar-SA"/>
        </w:rPr>
        <w:t>资历</w:t>
      </w:r>
      <w:r>
        <w:rPr>
          <w:rFonts w:ascii="Times New Roman" w:hAnsi="Times New Roman" w:eastAsia="黑体" w:cs="Times New Roman"/>
          <w:bCs/>
          <w:kern w:val="2"/>
          <w:sz w:val="28"/>
          <w:szCs w:val="32"/>
          <w:lang w:val="en-US" w:eastAsia="zh-CN" w:bidi="ar-SA"/>
        </w:rPr>
        <w:t>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39"/>
        <w:gridCol w:w="47"/>
        <w:gridCol w:w="1246"/>
        <w:gridCol w:w="95"/>
        <w:gridCol w:w="1074"/>
        <w:gridCol w:w="1171"/>
        <w:gridCol w:w="309"/>
        <w:gridCol w:w="1772"/>
        <w:gridCol w:w="45"/>
        <w:gridCol w:w="1322"/>
      </w:tblGrid>
      <w:tr w14:paraId="574F9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jc w:val="center"/>
        </w:trPr>
        <w:tc>
          <w:tcPr>
            <w:tcW w:w="1139" w:type="dxa"/>
            <w:noWrap w:val="0"/>
            <w:vAlign w:val="center"/>
          </w:tcPr>
          <w:p w14:paraId="436061E1">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姓名</w:t>
            </w:r>
          </w:p>
        </w:tc>
        <w:tc>
          <w:tcPr>
            <w:tcW w:w="1388" w:type="dxa"/>
            <w:gridSpan w:val="3"/>
            <w:noWrap w:val="0"/>
            <w:vAlign w:val="center"/>
          </w:tcPr>
          <w:p w14:paraId="7917CBE0">
            <w:pPr>
              <w:widowControl w:val="0"/>
              <w:spacing w:line="440" w:lineRule="exact"/>
              <w:jc w:val="center"/>
              <w:rPr>
                <w:rFonts w:ascii="Times New Roman" w:hAnsi="Times New Roman" w:eastAsia="宋体" w:cs="Times New Roman"/>
                <w:kern w:val="2"/>
                <w:sz w:val="21"/>
                <w:szCs w:val="21"/>
                <w:lang w:val="en-US" w:eastAsia="zh-CN" w:bidi="ar-SA"/>
              </w:rPr>
            </w:pPr>
          </w:p>
        </w:tc>
        <w:tc>
          <w:tcPr>
            <w:tcW w:w="1074" w:type="dxa"/>
            <w:noWrap w:val="0"/>
            <w:vAlign w:val="center"/>
          </w:tcPr>
          <w:p w14:paraId="7CA17610">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年龄</w:t>
            </w:r>
          </w:p>
        </w:tc>
        <w:tc>
          <w:tcPr>
            <w:tcW w:w="1171" w:type="dxa"/>
            <w:noWrap w:val="0"/>
            <w:vAlign w:val="center"/>
          </w:tcPr>
          <w:p w14:paraId="75BDB63B">
            <w:pPr>
              <w:widowControl w:val="0"/>
              <w:spacing w:line="440" w:lineRule="exact"/>
              <w:jc w:val="center"/>
              <w:rPr>
                <w:rFonts w:ascii="Times New Roman" w:hAnsi="Times New Roman" w:eastAsia="宋体" w:cs="Times New Roman"/>
                <w:kern w:val="2"/>
                <w:sz w:val="21"/>
                <w:szCs w:val="21"/>
                <w:lang w:val="en-US" w:eastAsia="zh-CN" w:bidi="ar-SA"/>
              </w:rPr>
            </w:pPr>
          </w:p>
        </w:tc>
        <w:tc>
          <w:tcPr>
            <w:tcW w:w="2126" w:type="dxa"/>
            <w:gridSpan w:val="3"/>
            <w:noWrap w:val="0"/>
            <w:vAlign w:val="center"/>
          </w:tcPr>
          <w:p w14:paraId="40086A41">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执业（职业）资格证书</w:t>
            </w:r>
          </w:p>
          <w:p w14:paraId="690F88F8">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（岗位证书）名称</w:t>
            </w:r>
          </w:p>
        </w:tc>
        <w:tc>
          <w:tcPr>
            <w:tcW w:w="1322" w:type="dxa"/>
            <w:noWrap w:val="0"/>
            <w:vAlign w:val="center"/>
          </w:tcPr>
          <w:p w14:paraId="09E6E4BE">
            <w:pPr>
              <w:widowControl w:val="0"/>
              <w:spacing w:line="440" w:lineRule="exact"/>
              <w:jc w:val="center"/>
              <w:rPr>
                <w:rFonts w:ascii="Times New Roman" w:hAnsi="Times New Roman" w:eastAsia="宋体" w:cs="Times New Roman"/>
                <w:kern w:val="2"/>
                <w:sz w:val="21"/>
                <w:szCs w:val="21"/>
                <w:lang w:val="en-US" w:eastAsia="zh-CN" w:bidi="ar-SA"/>
              </w:rPr>
            </w:pPr>
          </w:p>
        </w:tc>
      </w:tr>
      <w:tr w14:paraId="3919C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39" w:type="dxa"/>
            <w:noWrap w:val="0"/>
            <w:vAlign w:val="center"/>
          </w:tcPr>
          <w:p w14:paraId="17CF6D3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技术职称</w:t>
            </w:r>
          </w:p>
        </w:tc>
        <w:tc>
          <w:tcPr>
            <w:tcW w:w="1388" w:type="dxa"/>
            <w:gridSpan w:val="3"/>
            <w:noWrap w:val="0"/>
            <w:vAlign w:val="center"/>
          </w:tcPr>
          <w:p w14:paraId="2040E455">
            <w:pPr>
              <w:widowControl w:val="0"/>
              <w:spacing w:line="440" w:lineRule="exact"/>
              <w:jc w:val="center"/>
              <w:rPr>
                <w:rFonts w:ascii="Times New Roman" w:hAnsi="Times New Roman" w:eastAsia="宋体" w:cs="Times New Roman"/>
                <w:kern w:val="2"/>
                <w:sz w:val="21"/>
                <w:szCs w:val="21"/>
                <w:lang w:val="en-US" w:eastAsia="zh-CN" w:bidi="ar-SA"/>
              </w:rPr>
            </w:pPr>
          </w:p>
        </w:tc>
        <w:tc>
          <w:tcPr>
            <w:tcW w:w="1074" w:type="dxa"/>
            <w:noWrap w:val="0"/>
            <w:vAlign w:val="center"/>
          </w:tcPr>
          <w:p w14:paraId="21F2F08A">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学历</w:t>
            </w:r>
          </w:p>
        </w:tc>
        <w:tc>
          <w:tcPr>
            <w:tcW w:w="1171" w:type="dxa"/>
            <w:noWrap w:val="0"/>
            <w:vAlign w:val="center"/>
          </w:tcPr>
          <w:p w14:paraId="42641118">
            <w:pPr>
              <w:widowControl w:val="0"/>
              <w:spacing w:line="440" w:lineRule="exact"/>
              <w:jc w:val="center"/>
              <w:rPr>
                <w:rFonts w:ascii="Times New Roman" w:hAnsi="Times New Roman" w:eastAsia="宋体" w:cs="Times New Roman"/>
                <w:kern w:val="2"/>
                <w:sz w:val="21"/>
                <w:szCs w:val="21"/>
                <w:lang w:val="en-US" w:eastAsia="zh-CN" w:bidi="ar-SA"/>
              </w:rPr>
            </w:pPr>
          </w:p>
        </w:tc>
        <w:tc>
          <w:tcPr>
            <w:tcW w:w="2126" w:type="dxa"/>
            <w:gridSpan w:val="3"/>
            <w:noWrap w:val="0"/>
            <w:vAlign w:val="center"/>
          </w:tcPr>
          <w:p w14:paraId="058BCBB3">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拟在本标段任职</w:t>
            </w:r>
          </w:p>
        </w:tc>
        <w:tc>
          <w:tcPr>
            <w:tcW w:w="1322" w:type="dxa"/>
            <w:noWrap w:val="0"/>
            <w:vAlign w:val="center"/>
          </w:tcPr>
          <w:p w14:paraId="0557C813">
            <w:pPr>
              <w:widowControl w:val="0"/>
              <w:spacing w:line="440" w:lineRule="exact"/>
              <w:jc w:val="center"/>
              <w:rPr>
                <w:rFonts w:ascii="Times New Roman" w:hAnsi="Times New Roman" w:eastAsia="宋体" w:cs="Times New Roman"/>
                <w:kern w:val="2"/>
                <w:sz w:val="21"/>
                <w:szCs w:val="21"/>
                <w:lang w:val="en-US" w:eastAsia="zh-CN" w:bidi="ar-SA"/>
              </w:rPr>
            </w:pPr>
          </w:p>
        </w:tc>
      </w:tr>
      <w:tr w14:paraId="6D9D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39" w:type="dxa"/>
            <w:noWrap w:val="0"/>
            <w:vAlign w:val="center"/>
          </w:tcPr>
          <w:p w14:paraId="30BA81A1">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工作年限</w:t>
            </w:r>
          </w:p>
        </w:tc>
        <w:tc>
          <w:tcPr>
            <w:tcW w:w="3633" w:type="dxa"/>
            <w:gridSpan w:val="5"/>
            <w:noWrap w:val="0"/>
            <w:vAlign w:val="center"/>
          </w:tcPr>
          <w:p w14:paraId="1071CCA2">
            <w:pPr>
              <w:widowControl w:val="0"/>
              <w:spacing w:line="440" w:lineRule="exact"/>
              <w:jc w:val="center"/>
              <w:rPr>
                <w:rFonts w:ascii="Times New Roman" w:hAnsi="Times New Roman" w:eastAsia="宋体" w:cs="Times New Roman"/>
                <w:kern w:val="2"/>
                <w:sz w:val="21"/>
                <w:szCs w:val="21"/>
                <w:lang w:val="en-US" w:eastAsia="zh-CN" w:bidi="ar-SA"/>
              </w:rPr>
            </w:pPr>
          </w:p>
        </w:tc>
        <w:tc>
          <w:tcPr>
            <w:tcW w:w="2126" w:type="dxa"/>
            <w:gridSpan w:val="3"/>
            <w:noWrap w:val="0"/>
            <w:vAlign w:val="center"/>
          </w:tcPr>
          <w:p w14:paraId="03839D0D">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从事相关工作年限</w:t>
            </w:r>
          </w:p>
        </w:tc>
        <w:tc>
          <w:tcPr>
            <w:tcW w:w="1322" w:type="dxa"/>
            <w:noWrap w:val="0"/>
            <w:vAlign w:val="center"/>
          </w:tcPr>
          <w:p w14:paraId="54F2C0A6">
            <w:pPr>
              <w:widowControl w:val="0"/>
              <w:spacing w:line="440" w:lineRule="exact"/>
              <w:jc w:val="center"/>
              <w:rPr>
                <w:rFonts w:ascii="Times New Roman" w:hAnsi="Times New Roman" w:eastAsia="宋体" w:cs="Times New Roman"/>
                <w:kern w:val="2"/>
                <w:sz w:val="21"/>
                <w:szCs w:val="21"/>
                <w:lang w:val="en-US" w:eastAsia="zh-CN" w:bidi="ar-SA"/>
              </w:rPr>
            </w:pPr>
          </w:p>
        </w:tc>
      </w:tr>
      <w:tr w14:paraId="78E58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jc w:val="center"/>
        </w:trPr>
        <w:tc>
          <w:tcPr>
            <w:tcW w:w="1139" w:type="dxa"/>
            <w:noWrap w:val="0"/>
            <w:vAlign w:val="center"/>
          </w:tcPr>
          <w:p w14:paraId="70C0C91D">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毕业学校</w:t>
            </w:r>
          </w:p>
        </w:tc>
        <w:tc>
          <w:tcPr>
            <w:tcW w:w="7081" w:type="dxa"/>
            <w:gridSpan w:val="9"/>
            <w:noWrap w:val="0"/>
            <w:vAlign w:val="center"/>
          </w:tcPr>
          <w:p w14:paraId="4A44D62D">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______年___月毕业于___________学校___________专业</w:t>
            </w:r>
          </w:p>
        </w:tc>
      </w:tr>
      <w:tr w14:paraId="6A6D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8220" w:type="dxa"/>
            <w:gridSpan w:val="10"/>
            <w:noWrap w:val="0"/>
            <w:vAlign w:val="center"/>
          </w:tcPr>
          <w:p w14:paraId="618919D7">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经历</w:t>
            </w:r>
          </w:p>
        </w:tc>
      </w:tr>
      <w:tr w14:paraId="54A2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336B888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时  间</w:t>
            </w:r>
          </w:p>
        </w:tc>
        <w:tc>
          <w:tcPr>
            <w:tcW w:w="3895" w:type="dxa"/>
            <w:gridSpan w:val="5"/>
            <w:noWrap w:val="0"/>
            <w:vAlign w:val="center"/>
          </w:tcPr>
          <w:p w14:paraId="2336CE3C">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参加过的类似项目名称</w:t>
            </w:r>
          </w:p>
        </w:tc>
        <w:tc>
          <w:tcPr>
            <w:tcW w:w="1772" w:type="dxa"/>
            <w:noWrap w:val="0"/>
            <w:vAlign w:val="center"/>
          </w:tcPr>
          <w:p w14:paraId="0BE5EABC">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担任职务</w:t>
            </w:r>
          </w:p>
        </w:tc>
        <w:tc>
          <w:tcPr>
            <w:tcW w:w="1367" w:type="dxa"/>
            <w:gridSpan w:val="2"/>
            <w:noWrap w:val="0"/>
            <w:vAlign w:val="center"/>
          </w:tcPr>
          <w:p w14:paraId="73C537F0">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项目联系人及联系电话</w:t>
            </w:r>
          </w:p>
        </w:tc>
      </w:tr>
      <w:tr w14:paraId="3BFF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65BE520F">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1DCE8F2F">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6EFA1118">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003B96A8">
            <w:pPr>
              <w:widowControl w:val="0"/>
              <w:spacing w:line="440" w:lineRule="exact"/>
              <w:jc w:val="center"/>
              <w:rPr>
                <w:rFonts w:ascii="Times New Roman" w:hAnsi="Times New Roman" w:eastAsia="宋体" w:cs="Times New Roman"/>
                <w:kern w:val="2"/>
                <w:sz w:val="21"/>
                <w:szCs w:val="21"/>
                <w:lang w:val="en-US" w:eastAsia="zh-CN" w:bidi="ar-SA"/>
              </w:rPr>
            </w:pPr>
          </w:p>
        </w:tc>
      </w:tr>
      <w:tr w14:paraId="7CE3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21E96F66">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644740EB">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73ED5AFC">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0FA8ACE6">
            <w:pPr>
              <w:widowControl w:val="0"/>
              <w:spacing w:line="440" w:lineRule="exact"/>
              <w:jc w:val="center"/>
              <w:rPr>
                <w:rFonts w:ascii="Times New Roman" w:hAnsi="Times New Roman" w:eastAsia="宋体" w:cs="Times New Roman"/>
                <w:kern w:val="2"/>
                <w:sz w:val="21"/>
                <w:szCs w:val="21"/>
                <w:lang w:val="en-US" w:eastAsia="zh-CN" w:bidi="ar-SA"/>
              </w:rPr>
            </w:pPr>
          </w:p>
        </w:tc>
      </w:tr>
      <w:tr w14:paraId="7B667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4719F53E">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4659A349">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7C9C03BC">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5CC87965">
            <w:pPr>
              <w:widowControl w:val="0"/>
              <w:spacing w:line="440" w:lineRule="exact"/>
              <w:jc w:val="center"/>
              <w:rPr>
                <w:rFonts w:ascii="Times New Roman" w:hAnsi="Times New Roman" w:eastAsia="宋体" w:cs="Times New Roman"/>
                <w:kern w:val="2"/>
                <w:sz w:val="21"/>
                <w:szCs w:val="21"/>
                <w:lang w:val="en-US" w:eastAsia="zh-CN" w:bidi="ar-SA"/>
              </w:rPr>
            </w:pPr>
          </w:p>
        </w:tc>
      </w:tr>
      <w:tr w14:paraId="3EEE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48C2E37B">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2A595318">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410F654A">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5C659B45">
            <w:pPr>
              <w:widowControl w:val="0"/>
              <w:spacing w:line="440" w:lineRule="exact"/>
              <w:jc w:val="center"/>
              <w:rPr>
                <w:rFonts w:ascii="Times New Roman" w:hAnsi="Times New Roman" w:eastAsia="宋体" w:cs="Times New Roman"/>
                <w:kern w:val="2"/>
                <w:sz w:val="21"/>
                <w:szCs w:val="21"/>
                <w:lang w:val="en-US" w:eastAsia="zh-CN" w:bidi="ar-SA"/>
              </w:rPr>
            </w:pPr>
          </w:p>
        </w:tc>
      </w:tr>
      <w:tr w14:paraId="3672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3300C62A">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2469929B">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472F9D77">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47F2A420">
            <w:pPr>
              <w:widowControl w:val="0"/>
              <w:spacing w:line="440" w:lineRule="exact"/>
              <w:jc w:val="center"/>
              <w:rPr>
                <w:rFonts w:ascii="Times New Roman" w:hAnsi="Times New Roman" w:eastAsia="宋体" w:cs="Times New Roman"/>
                <w:kern w:val="2"/>
                <w:sz w:val="21"/>
                <w:szCs w:val="21"/>
                <w:lang w:val="en-US" w:eastAsia="zh-CN" w:bidi="ar-SA"/>
              </w:rPr>
            </w:pPr>
          </w:p>
        </w:tc>
      </w:tr>
      <w:tr w14:paraId="77F41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54EAC9CA">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7A6578BD">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231D00BE">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4FAD248A">
            <w:pPr>
              <w:widowControl w:val="0"/>
              <w:spacing w:line="440" w:lineRule="exact"/>
              <w:jc w:val="center"/>
              <w:rPr>
                <w:rFonts w:ascii="Times New Roman" w:hAnsi="Times New Roman" w:eastAsia="宋体" w:cs="Times New Roman"/>
                <w:kern w:val="2"/>
                <w:sz w:val="21"/>
                <w:szCs w:val="21"/>
                <w:lang w:val="en-US" w:eastAsia="zh-CN" w:bidi="ar-SA"/>
              </w:rPr>
            </w:pPr>
          </w:p>
        </w:tc>
      </w:tr>
      <w:tr w14:paraId="659A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2D93245B">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6C141BAD">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1657FA95">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330F38F6">
            <w:pPr>
              <w:widowControl w:val="0"/>
              <w:spacing w:line="440" w:lineRule="exact"/>
              <w:jc w:val="center"/>
              <w:rPr>
                <w:rFonts w:ascii="Times New Roman" w:hAnsi="Times New Roman" w:eastAsia="宋体" w:cs="Times New Roman"/>
                <w:kern w:val="2"/>
                <w:sz w:val="21"/>
                <w:szCs w:val="21"/>
                <w:lang w:val="en-US" w:eastAsia="zh-CN" w:bidi="ar-SA"/>
              </w:rPr>
            </w:pPr>
          </w:p>
        </w:tc>
      </w:tr>
      <w:tr w14:paraId="20C17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2432" w:type="dxa"/>
            <w:gridSpan w:val="3"/>
            <w:noWrap w:val="0"/>
            <w:vAlign w:val="center"/>
          </w:tcPr>
          <w:p w14:paraId="5AF2447A">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目前承担的任务</w:t>
            </w:r>
          </w:p>
        </w:tc>
        <w:tc>
          <w:tcPr>
            <w:tcW w:w="5788" w:type="dxa"/>
            <w:gridSpan w:val="7"/>
            <w:noWrap w:val="0"/>
            <w:vAlign w:val="center"/>
          </w:tcPr>
          <w:p w14:paraId="7CCA51C6">
            <w:pPr>
              <w:widowControl w:val="0"/>
              <w:spacing w:line="440" w:lineRule="exact"/>
              <w:jc w:val="center"/>
              <w:rPr>
                <w:rFonts w:ascii="Times New Roman" w:hAnsi="Times New Roman" w:eastAsia="宋体" w:cs="Times New Roman"/>
                <w:kern w:val="2"/>
                <w:sz w:val="21"/>
                <w:szCs w:val="21"/>
                <w:lang w:val="en-US" w:eastAsia="zh-CN" w:bidi="ar-SA"/>
              </w:rPr>
            </w:pPr>
          </w:p>
        </w:tc>
      </w:tr>
      <w:tr w14:paraId="12E8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2432" w:type="dxa"/>
            <w:gridSpan w:val="3"/>
            <w:noWrap w:val="0"/>
            <w:vAlign w:val="center"/>
          </w:tcPr>
          <w:p w14:paraId="2D15FD95">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备     注</w:t>
            </w:r>
          </w:p>
        </w:tc>
        <w:tc>
          <w:tcPr>
            <w:tcW w:w="5788" w:type="dxa"/>
            <w:gridSpan w:val="7"/>
            <w:noWrap w:val="0"/>
            <w:vAlign w:val="center"/>
          </w:tcPr>
          <w:p w14:paraId="1E49B186">
            <w:pPr>
              <w:widowControl w:val="0"/>
              <w:spacing w:line="440" w:lineRule="exact"/>
              <w:jc w:val="center"/>
              <w:rPr>
                <w:rFonts w:ascii="Times New Roman" w:hAnsi="Times New Roman" w:eastAsia="宋体" w:cs="Times New Roman"/>
                <w:kern w:val="2"/>
                <w:sz w:val="21"/>
                <w:szCs w:val="21"/>
                <w:lang w:val="en-US" w:eastAsia="zh-CN" w:bidi="ar-SA"/>
              </w:rPr>
            </w:pPr>
          </w:p>
        </w:tc>
      </w:tr>
    </w:tbl>
    <w:p w14:paraId="65F04D03">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备注：</w:t>
      </w:r>
    </w:p>
    <w:p w14:paraId="74C6D4CB">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1. 每张表格只填写一个主要人员，并标明序号。</w:t>
      </w:r>
    </w:p>
    <w:p w14:paraId="5BC8C6D0">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 xml:space="preserve">2. </w:t>
      </w:r>
      <w:r>
        <w:rPr>
          <w:rStyle w:val="25"/>
          <w:rFonts w:hint="eastAsia" w:ascii="Times New Roman" w:hAnsi="Times New Roman" w:eastAsia="宋体" w:cs="Times New Roman"/>
          <w:kern w:val="2"/>
          <w:sz w:val="21"/>
          <w:szCs w:val="20"/>
          <w:lang w:val="en-US" w:eastAsia="zh-CN" w:bidi="ar-SA"/>
        </w:rPr>
        <w:t>本表应按招标公告附录3资格审查条件(主要人员要求)要求填写，在本表后附相关证明材料</w:t>
      </w:r>
      <w:r>
        <w:rPr>
          <w:rFonts w:ascii="Times New Roman" w:hAnsi="Times New Roman" w:eastAsia="宋体" w:cs="Times New Roman"/>
          <w:kern w:val="2"/>
          <w:sz w:val="21"/>
          <w:szCs w:val="20"/>
          <w:lang w:val="en-US" w:eastAsia="zh-CN" w:bidi="ar-SA"/>
        </w:rPr>
        <w:t>。</w:t>
      </w:r>
    </w:p>
    <w:p w14:paraId="417E35F1">
      <w:pPr>
        <w:widowControl w:val="0"/>
        <w:spacing w:line="360" w:lineRule="auto"/>
        <w:jc w:val="center"/>
        <w:rPr>
          <w:rFonts w:ascii="Times New Roman" w:hAnsi="Times New Roman" w:eastAsia="黑体" w:cs="Times New Roman"/>
          <w:bCs/>
          <w:kern w:val="2"/>
          <w:sz w:val="28"/>
          <w:szCs w:val="32"/>
          <w:lang w:val="en-US" w:eastAsia="zh-CN" w:bidi="ar-SA"/>
        </w:rPr>
      </w:pPr>
      <w:r>
        <w:rPr>
          <w:rFonts w:ascii="Times New Roman" w:hAnsi="Times New Roman" w:eastAsia="宋体" w:cs="Times New Roman"/>
          <w:kern w:val="2"/>
          <w:sz w:val="21"/>
          <w:szCs w:val="22"/>
          <w:lang w:bidi="ar-SA"/>
        </w:rPr>
        <w:br w:type="page"/>
      </w:r>
      <w:r>
        <w:rPr>
          <w:rFonts w:ascii="Times New Roman" w:hAnsi="Times New Roman" w:eastAsia="黑体" w:cs="Times New Roman"/>
          <w:bCs/>
          <w:kern w:val="2"/>
          <w:sz w:val="28"/>
          <w:szCs w:val="32"/>
          <w:lang w:val="en-US" w:eastAsia="zh-CN" w:bidi="ar-SA"/>
        </w:rPr>
        <w:t>B 技术负责</w:t>
      </w:r>
      <w:r>
        <w:rPr>
          <w:rFonts w:hint="eastAsia" w:ascii="Times New Roman" w:hAnsi="Times New Roman" w:eastAsia="黑体" w:cs="Times New Roman"/>
          <w:bCs/>
          <w:kern w:val="2"/>
          <w:sz w:val="28"/>
          <w:szCs w:val="32"/>
          <w:lang w:val="en-US" w:eastAsia="zh-CN" w:bidi="ar-SA"/>
        </w:rPr>
        <w:t>人资历</w:t>
      </w:r>
      <w:r>
        <w:rPr>
          <w:rFonts w:ascii="Times New Roman" w:hAnsi="Times New Roman" w:eastAsia="黑体" w:cs="Times New Roman"/>
          <w:bCs/>
          <w:kern w:val="2"/>
          <w:sz w:val="28"/>
          <w:szCs w:val="32"/>
          <w:lang w:val="en-US" w:eastAsia="zh-CN" w:bidi="ar-SA"/>
        </w:rPr>
        <w:t>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39"/>
        <w:gridCol w:w="47"/>
        <w:gridCol w:w="1246"/>
        <w:gridCol w:w="95"/>
        <w:gridCol w:w="1074"/>
        <w:gridCol w:w="1171"/>
        <w:gridCol w:w="309"/>
        <w:gridCol w:w="1772"/>
        <w:gridCol w:w="45"/>
        <w:gridCol w:w="1322"/>
      </w:tblGrid>
      <w:tr w14:paraId="28C3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jc w:val="center"/>
        </w:trPr>
        <w:tc>
          <w:tcPr>
            <w:tcW w:w="1139" w:type="dxa"/>
            <w:noWrap w:val="0"/>
            <w:vAlign w:val="center"/>
          </w:tcPr>
          <w:p w14:paraId="3B266039">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姓名</w:t>
            </w:r>
          </w:p>
        </w:tc>
        <w:tc>
          <w:tcPr>
            <w:tcW w:w="1388" w:type="dxa"/>
            <w:gridSpan w:val="3"/>
            <w:noWrap w:val="0"/>
            <w:vAlign w:val="center"/>
          </w:tcPr>
          <w:p w14:paraId="4FAFFAE0">
            <w:pPr>
              <w:widowControl w:val="0"/>
              <w:spacing w:line="440" w:lineRule="exact"/>
              <w:jc w:val="center"/>
              <w:rPr>
                <w:rFonts w:ascii="Times New Roman" w:hAnsi="Times New Roman" w:eastAsia="宋体" w:cs="Times New Roman"/>
                <w:kern w:val="2"/>
                <w:sz w:val="21"/>
                <w:szCs w:val="21"/>
                <w:lang w:val="en-US" w:eastAsia="zh-CN" w:bidi="ar-SA"/>
              </w:rPr>
            </w:pPr>
          </w:p>
        </w:tc>
        <w:tc>
          <w:tcPr>
            <w:tcW w:w="1074" w:type="dxa"/>
            <w:noWrap w:val="0"/>
            <w:vAlign w:val="center"/>
          </w:tcPr>
          <w:p w14:paraId="525ECCA9">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年龄</w:t>
            </w:r>
          </w:p>
        </w:tc>
        <w:tc>
          <w:tcPr>
            <w:tcW w:w="1171" w:type="dxa"/>
            <w:noWrap w:val="0"/>
            <w:vAlign w:val="center"/>
          </w:tcPr>
          <w:p w14:paraId="42D118DE">
            <w:pPr>
              <w:widowControl w:val="0"/>
              <w:spacing w:line="440" w:lineRule="exact"/>
              <w:jc w:val="center"/>
              <w:rPr>
                <w:rFonts w:ascii="Times New Roman" w:hAnsi="Times New Roman" w:eastAsia="宋体" w:cs="Times New Roman"/>
                <w:kern w:val="2"/>
                <w:sz w:val="21"/>
                <w:szCs w:val="21"/>
                <w:lang w:val="en-US" w:eastAsia="zh-CN" w:bidi="ar-SA"/>
              </w:rPr>
            </w:pPr>
          </w:p>
        </w:tc>
        <w:tc>
          <w:tcPr>
            <w:tcW w:w="2126" w:type="dxa"/>
            <w:gridSpan w:val="3"/>
            <w:noWrap w:val="0"/>
            <w:vAlign w:val="center"/>
          </w:tcPr>
          <w:p w14:paraId="433A529D">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执业（职业）资格证书</w:t>
            </w:r>
          </w:p>
          <w:p w14:paraId="3DCFCAB9">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（岗位证书）名称</w:t>
            </w:r>
          </w:p>
        </w:tc>
        <w:tc>
          <w:tcPr>
            <w:tcW w:w="1322" w:type="dxa"/>
            <w:noWrap w:val="0"/>
            <w:vAlign w:val="center"/>
          </w:tcPr>
          <w:p w14:paraId="7BD1C873">
            <w:pPr>
              <w:widowControl w:val="0"/>
              <w:spacing w:line="440" w:lineRule="exact"/>
              <w:jc w:val="center"/>
              <w:rPr>
                <w:rFonts w:ascii="Times New Roman" w:hAnsi="Times New Roman" w:eastAsia="宋体" w:cs="Times New Roman"/>
                <w:kern w:val="2"/>
                <w:sz w:val="21"/>
                <w:szCs w:val="21"/>
                <w:lang w:val="en-US" w:eastAsia="zh-CN" w:bidi="ar-SA"/>
              </w:rPr>
            </w:pPr>
          </w:p>
        </w:tc>
      </w:tr>
      <w:tr w14:paraId="57CD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39" w:type="dxa"/>
            <w:noWrap w:val="0"/>
            <w:vAlign w:val="center"/>
          </w:tcPr>
          <w:p w14:paraId="16E00241">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技术职称</w:t>
            </w:r>
          </w:p>
        </w:tc>
        <w:tc>
          <w:tcPr>
            <w:tcW w:w="1388" w:type="dxa"/>
            <w:gridSpan w:val="3"/>
            <w:noWrap w:val="0"/>
            <w:vAlign w:val="center"/>
          </w:tcPr>
          <w:p w14:paraId="6C2B4302">
            <w:pPr>
              <w:widowControl w:val="0"/>
              <w:spacing w:line="440" w:lineRule="exact"/>
              <w:jc w:val="center"/>
              <w:rPr>
                <w:rFonts w:ascii="Times New Roman" w:hAnsi="Times New Roman" w:eastAsia="宋体" w:cs="Times New Roman"/>
                <w:kern w:val="2"/>
                <w:sz w:val="21"/>
                <w:szCs w:val="21"/>
                <w:lang w:val="en-US" w:eastAsia="zh-CN" w:bidi="ar-SA"/>
              </w:rPr>
            </w:pPr>
          </w:p>
        </w:tc>
        <w:tc>
          <w:tcPr>
            <w:tcW w:w="1074" w:type="dxa"/>
            <w:noWrap w:val="0"/>
            <w:vAlign w:val="center"/>
          </w:tcPr>
          <w:p w14:paraId="778E622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学历</w:t>
            </w:r>
          </w:p>
        </w:tc>
        <w:tc>
          <w:tcPr>
            <w:tcW w:w="1171" w:type="dxa"/>
            <w:noWrap w:val="0"/>
            <w:vAlign w:val="center"/>
          </w:tcPr>
          <w:p w14:paraId="5E0FB2A5">
            <w:pPr>
              <w:widowControl w:val="0"/>
              <w:spacing w:line="440" w:lineRule="exact"/>
              <w:jc w:val="center"/>
              <w:rPr>
                <w:rFonts w:ascii="Times New Roman" w:hAnsi="Times New Roman" w:eastAsia="宋体" w:cs="Times New Roman"/>
                <w:kern w:val="2"/>
                <w:sz w:val="21"/>
                <w:szCs w:val="21"/>
                <w:lang w:val="en-US" w:eastAsia="zh-CN" w:bidi="ar-SA"/>
              </w:rPr>
            </w:pPr>
          </w:p>
        </w:tc>
        <w:tc>
          <w:tcPr>
            <w:tcW w:w="2126" w:type="dxa"/>
            <w:gridSpan w:val="3"/>
            <w:noWrap w:val="0"/>
            <w:vAlign w:val="center"/>
          </w:tcPr>
          <w:p w14:paraId="6218F200">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拟在本标段任职</w:t>
            </w:r>
          </w:p>
        </w:tc>
        <w:tc>
          <w:tcPr>
            <w:tcW w:w="1322" w:type="dxa"/>
            <w:noWrap w:val="0"/>
            <w:vAlign w:val="center"/>
          </w:tcPr>
          <w:p w14:paraId="5D1E5387">
            <w:pPr>
              <w:widowControl w:val="0"/>
              <w:spacing w:line="440" w:lineRule="exact"/>
              <w:jc w:val="center"/>
              <w:rPr>
                <w:rFonts w:ascii="Times New Roman" w:hAnsi="Times New Roman" w:eastAsia="宋体" w:cs="Times New Roman"/>
                <w:kern w:val="2"/>
                <w:sz w:val="21"/>
                <w:szCs w:val="21"/>
                <w:lang w:val="en-US" w:eastAsia="zh-CN" w:bidi="ar-SA"/>
              </w:rPr>
            </w:pPr>
          </w:p>
        </w:tc>
      </w:tr>
      <w:tr w14:paraId="215F2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39" w:type="dxa"/>
            <w:noWrap w:val="0"/>
            <w:vAlign w:val="center"/>
          </w:tcPr>
          <w:p w14:paraId="464A3B7D">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工作年限</w:t>
            </w:r>
          </w:p>
        </w:tc>
        <w:tc>
          <w:tcPr>
            <w:tcW w:w="3633" w:type="dxa"/>
            <w:gridSpan w:val="5"/>
            <w:noWrap w:val="0"/>
            <w:vAlign w:val="center"/>
          </w:tcPr>
          <w:p w14:paraId="6584C1EF">
            <w:pPr>
              <w:widowControl w:val="0"/>
              <w:spacing w:line="440" w:lineRule="exact"/>
              <w:jc w:val="center"/>
              <w:rPr>
                <w:rFonts w:ascii="Times New Roman" w:hAnsi="Times New Roman" w:eastAsia="宋体" w:cs="Times New Roman"/>
                <w:kern w:val="2"/>
                <w:sz w:val="21"/>
                <w:szCs w:val="21"/>
                <w:lang w:val="en-US" w:eastAsia="zh-CN" w:bidi="ar-SA"/>
              </w:rPr>
            </w:pPr>
          </w:p>
        </w:tc>
        <w:tc>
          <w:tcPr>
            <w:tcW w:w="2126" w:type="dxa"/>
            <w:gridSpan w:val="3"/>
            <w:noWrap w:val="0"/>
            <w:vAlign w:val="center"/>
          </w:tcPr>
          <w:p w14:paraId="5C23F46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从事相关工作年限</w:t>
            </w:r>
          </w:p>
        </w:tc>
        <w:tc>
          <w:tcPr>
            <w:tcW w:w="1322" w:type="dxa"/>
            <w:noWrap w:val="0"/>
            <w:vAlign w:val="center"/>
          </w:tcPr>
          <w:p w14:paraId="2C519E69">
            <w:pPr>
              <w:widowControl w:val="0"/>
              <w:spacing w:line="440" w:lineRule="exact"/>
              <w:jc w:val="center"/>
              <w:rPr>
                <w:rFonts w:ascii="Times New Roman" w:hAnsi="Times New Roman" w:eastAsia="宋体" w:cs="Times New Roman"/>
                <w:kern w:val="2"/>
                <w:sz w:val="21"/>
                <w:szCs w:val="21"/>
                <w:lang w:val="en-US" w:eastAsia="zh-CN" w:bidi="ar-SA"/>
              </w:rPr>
            </w:pPr>
          </w:p>
        </w:tc>
      </w:tr>
      <w:tr w14:paraId="5080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jc w:val="center"/>
        </w:trPr>
        <w:tc>
          <w:tcPr>
            <w:tcW w:w="1139" w:type="dxa"/>
            <w:noWrap w:val="0"/>
            <w:vAlign w:val="center"/>
          </w:tcPr>
          <w:p w14:paraId="54643238">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毕业学校</w:t>
            </w:r>
          </w:p>
        </w:tc>
        <w:tc>
          <w:tcPr>
            <w:tcW w:w="7081" w:type="dxa"/>
            <w:gridSpan w:val="9"/>
            <w:noWrap w:val="0"/>
            <w:vAlign w:val="center"/>
          </w:tcPr>
          <w:p w14:paraId="11CDB3AD">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______年___月毕业于___________学校___________专业</w:t>
            </w:r>
          </w:p>
        </w:tc>
      </w:tr>
      <w:tr w14:paraId="67261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8220" w:type="dxa"/>
            <w:gridSpan w:val="10"/>
            <w:noWrap w:val="0"/>
            <w:vAlign w:val="center"/>
          </w:tcPr>
          <w:p w14:paraId="134365EB">
            <w:pPr>
              <w:widowControl w:val="0"/>
              <w:spacing w:line="440" w:lineRule="exact"/>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经历</w:t>
            </w:r>
          </w:p>
        </w:tc>
      </w:tr>
      <w:tr w14:paraId="62B0B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147FE0DB">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时  间</w:t>
            </w:r>
          </w:p>
        </w:tc>
        <w:tc>
          <w:tcPr>
            <w:tcW w:w="3895" w:type="dxa"/>
            <w:gridSpan w:val="5"/>
            <w:noWrap w:val="0"/>
            <w:vAlign w:val="center"/>
          </w:tcPr>
          <w:p w14:paraId="5EA150F8">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参加过的类似项目名称</w:t>
            </w:r>
          </w:p>
        </w:tc>
        <w:tc>
          <w:tcPr>
            <w:tcW w:w="1772" w:type="dxa"/>
            <w:noWrap w:val="0"/>
            <w:vAlign w:val="center"/>
          </w:tcPr>
          <w:p w14:paraId="2E6A2AC3">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担任职务</w:t>
            </w:r>
          </w:p>
        </w:tc>
        <w:tc>
          <w:tcPr>
            <w:tcW w:w="1367" w:type="dxa"/>
            <w:gridSpan w:val="2"/>
            <w:noWrap w:val="0"/>
            <w:vAlign w:val="center"/>
          </w:tcPr>
          <w:p w14:paraId="0794C657">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项目联系人及联系电话</w:t>
            </w:r>
          </w:p>
        </w:tc>
      </w:tr>
      <w:tr w14:paraId="3845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24F9757A">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6D4F92F8">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3B0E61F9">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13141736">
            <w:pPr>
              <w:widowControl w:val="0"/>
              <w:spacing w:line="440" w:lineRule="exact"/>
              <w:jc w:val="center"/>
              <w:rPr>
                <w:rFonts w:ascii="Times New Roman" w:hAnsi="Times New Roman" w:eastAsia="宋体" w:cs="Times New Roman"/>
                <w:kern w:val="2"/>
                <w:sz w:val="21"/>
                <w:szCs w:val="21"/>
                <w:lang w:val="en-US" w:eastAsia="zh-CN" w:bidi="ar-SA"/>
              </w:rPr>
            </w:pPr>
          </w:p>
        </w:tc>
      </w:tr>
      <w:tr w14:paraId="4660F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61DD7942">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00498DE6">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404C7EF0">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54925CB5">
            <w:pPr>
              <w:widowControl w:val="0"/>
              <w:spacing w:line="440" w:lineRule="exact"/>
              <w:jc w:val="center"/>
              <w:rPr>
                <w:rFonts w:ascii="Times New Roman" w:hAnsi="Times New Roman" w:eastAsia="宋体" w:cs="Times New Roman"/>
                <w:kern w:val="2"/>
                <w:sz w:val="21"/>
                <w:szCs w:val="21"/>
                <w:lang w:val="en-US" w:eastAsia="zh-CN" w:bidi="ar-SA"/>
              </w:rPr>
            </w:pPr>
          </w:p>
        </w:tc>
      </w:tr>
      <w:tr w14:paraId="0F0C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40B4DB1A">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2640DD06">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1AACF88A">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34B9D479">
            <w:pPr>
              <w:widowControl w:val="0"/>
              <w:spacing w:line="440" w:lineRule="exact"/>
              <w:jc w:val="center"/>
              <w:rPr>
                <w:rFonts w:ascii="Times New Roman" w:hAnsi="Times New Roman" w:eastAsia="宋体" w:cs="Times New Roman"/>
                <w:kern w:val="2"/>
                <w:sz w:val="21"/>
                <w:szCs w:val="21"/>
                <w:lang w:val="en-US" w:eastAsia="zh-CN" w:bidi="ar-SA"/>
              </w:rPr>
            </w:pPr>
          </w:p>
        </w:tc>
      </w:tr>
      <w:tr w14:paraId="038B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19DDF061">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0B185A56">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7935B7F8">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39043A37">
            <w:pPr>
              <w:widowControl w:val="0"/>
              <w:spacing w:line="440" w:lineRule="exact"/>
              <w:jc w:val="center"/>
              <w:rPr>
                <w:rFonts w:ascii="Times New Roman" w:hAnsi="Times New Roman" w:eastAsia="宋体" w:cs="Times New Roman"/>
                <w:kern w:val="2"/>
                <w:sz w:val="21"/>
                <w:szCs w:val="21"/>
                <w:lang w:val="en-US" w:eastAsia="zh-CN" w:bidi="ar-SA"/>
              </w:rPr>
            </w:pPr>
          </w:p>
        </w:tc>
      </w:tr>
      <w:tr w14:paraId="54C8F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7E8C8DF1">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100D9072">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56227B47">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20B90A0B">
            <w:pPr>
              <w:widowControl w:val="0"/>
              <w:spacing w:line="440" w:lineRule="exact"/>
              <w:jc w:val="center"/>
              <w:rPr>
                <w:rFonts w:ascii="Times New Roman" w:hAnsi="Times New Roman" w:eastAsia="宋体" w:cs="Times New Roman"/>
                <w:kern w:val="2"/>
                <w:sz w:val="21"/>
                <w:szCs w:val="21"/>
                <w:lang w:val="en-US" w:eastAsia="zh-CN" w:bidi="ar-SA"/>
              </w:rPr>
            </w:pPr>
          </w:p>
        </w:tc>
      </w:tr>
      <w:tr w14:paraId="0ED8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24DE1226">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11410090">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713AD15A">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4A7144EF">
            <w:pPr>
              <w:widowControl w:val="0"/>
              <w:spacing w:line="440" w:lineRule="exact"/>
              <w:jc w:val="center"/>
              <w:rPr>
                <w:rFonts w:ascii="Times New Roman" w:hAnsi="Times New Roman" w:eastAsia="宋体" w:cs="Times New Roman"/>
                <w:kern w:val="2"/>
                <w:sz w:val="21"/>
                <w:szCs w:val="21"/>
                <w:lang w:val="en-US" w:eastAsia="zh-CN" w:bidi="ar-SA"/>
              </w:rPr>
            </w:pPr>
          </w:p>
        </w:tc>
      </w:tr>
      <w:tr w14:paraId="79FE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186" w:type="dxa"/>
            <w:gridSpan w:val="2"/>
            <w:noWrap w:val="0"/>
            <w:vAlign w:val="center"/>
          </w:tcPr>
          <w:p w14:paraId="02C87FE7">
            <w:pPr>
              <w:widowControl w:val="0"/>
              <w:spacing w:line="440" w:lineRule="exact"/>
              <w:jc w:val="center"/>
              <w:rPr>
                <w:rFonts w:ascii="Times New Roman" w:hAnsi="Times New Roman" w:eastAsia="宋体" w:cs="Times New Roman"/>
                <w:kern w:val="2"/>
                <w:sz w:val="21"/>
                <w:szCs w:val="21"/>
                <w:lang w:val="en-US" w:eastAsia="zh-CN" w:bidi="ar-SA"/>
              </w:rPr>
            </w:pPr>
          </w:p>
        </w:tc>
        <w:tc>
          <w:tcPr>
            <w:tcW w:w="3895" w:type="dxa"/>
            <w:gridSpan w:val="5"/>
            <w:noWrap w:val="0"/>
            <w:vAlign w:val="center"/>
          </w:tcPr>
          <w:p w14:paraId="6B6ECAFA">
            <w:pPr>
              <w:widowControl w:val="0"/>
              <w:spacing w:line="440" w:lineRule="exact"/>
              <w:jc w:val="center"/>
              <w:rPr>
                <w:rFonts w:ascii="Times New Roman" w:hAnsi="Times New Roman" w:eastAsia="宋体" w:cs="Times New Roman"/>
                <w:kern w:val="2"/>
                <w:sz w:val="21"/>
                <w:szCs w:val="21"/>
                <w:lang w:val="en-US" w:eastAsia="zh-CN" w:bidi="ar-SA"/>
              </w:rPr>
            </w:pPr>
          </w:p>
        </w:tc>
        <w:tc>
          <w:tcPr>
            <w:tcW w:w="1772" w:type="dxa"/>
            <w:noWrap w:val="0"/>
            <w:vAlign w:val="center"/>
          </w:tcPr>
          <w:p w14:paraId="519BC516">
            <w:pPr>
              <w:widowControl w:val="0"/>
              <w:spacing w:line="440" w:lineRule="exact"/>
              <w:jc w:val="center"/>
              <w:rPr>
                <w:rFonts w:ascii="Times New Roman" w:hAnsi="Times New Roman" w:eastAsia="宋体" w:cs="Times New Roman"/>
                <w:kern w:val="2"/>
                <w:sz w:val="21"/>
                <w:szCs w:val="21"/>
                <w:lang w:val="en-US" w:eastAsia="zh-CN" w:bidi="ar-SA"/>
              </w:rPr>
            </w:pPr>
          </w:p>
        </w:tc>
        <w:tc>
          <w:tcPr>
            <w:tcW w:w="1367" w:type="dxa"/>
            <w:gridSpan w:val="2"/>
            <w:noWrap w:val="0"/>
            <w:vAlign w:val="center"/>
          </w:tcPr>
          <w:p w14:paraId="04A445FC">
            <w:pPr>
              <w:widowControl w:val="0"/>
              <w:spacing w:line="440" w:lineRule="exact"/>
              <w:jc w:val="center"/>
              <w:rPr>
                <w:rFonts w:ascii="Times New Roman" w:hAnsi="Times New Roman" w:eastAsia="宋体" w:cs="Times New Roman"/>
                <w:kern w:val="2"/>
                <w:sz w:val="21"/>
                <w:szCs w:val="21"/>
                <w:lang w:val="en-US" w:eastAsia="zh-CN" w:bidi="ar-SA"/>
              </w:rPr>
            </w:pPr>
          </w:p>
        </w:tc>
      </w:tr>
      <w:tr w14:paraId="38AB8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2432" w:type="dxa"/>
            <w:gridSpan w:val="3"/>
            <w:noWrap w:val="0"/>
            <w:vAlign w:val="center"/>
          </w:tcPr>
          <w:p w14:paraId="1B408F01">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目前承担的任务</w:t>
            </w:r>
          </w:p>
        </w:tc>
        <w:tc>
          <w:tcPr>
            <w:tcW w:w="5788" w:type="dxa"/>
            <w:gridSpan w:val="7"/>
            <w:noWrap w:val="0"/>
            <w:vAlign w:val="center"/>
          </w:tcPr>
          <w:p w14:paraId="339597DD">
            <w:pPr>
              <w:widowControl w:val="0"/>
              <w:spacing w:line="440" w:lineRule="exact"/>
              <w:jc w:val="center"/>
              <w:rPr>
                <w:rFonts w:ascii="Times New Roman" w:hAnsi="Times New Roman" w:eastAsia="宋体" w:cs="Times New Roman"/>
                <w:kern w:val="2"/>
                <w:sz w:val="21"/>
                <w:szCs w:val="21"/>
                <w:lang w:val="en-US" w:eastAsia="zh-CN" w:bidi="ar-SA"/>
              </w:rPr>
            </w:pPr>
          </w:p>
        </w:tc>
      </w:tr>
      <w:tr w14:paraId="6D98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2432" w:type="dxa"/>
            <w:gridSpan w:val="3"/>
            <w:noWrap w:val="0"/>
            <w:vAlign w:val="center"/>
          </w:tcPr>
          <w:p w14:paraId="0427771F">
            <w:pPr>
              <w:widowControl w:val="0"/>
              <w:spacing w:line="440" w:lineRule="exact"/>
              <w:jc w:val="center"/>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kern w:val="2"/>
                <w:sz w:val="21"/>
                <w:szCs w:val="21"/>
                <w:lang w:val="en-US" w:eastAsia="zh-CN" w:bidi="ar-SA"/>
              </w:rPr>
              <w:t>备     注</w:t>
            </w:r>
          </w:p>
        </w:tc>
        <w:tc>
          <w:tcPr>
            <w:tcW w:w="5788" w:type="dxa"/>
            <w:gridSpan w:val="7"/>
            <w:noWrap w:val="0"/>
            <w:vAlign w:val="center"/>
          </w:tcPr>
          <w:p w14:paraId="6C356C0F">
            <w:pPr>
              <w:widowControl w:val="0"/>
              <w:spacing w:line="440" w:lineRule="exact"/>
              <w:jc w:val="center"/>
              <w:rPr>
                <w:rFonts w:ascii="Times New Roman" w:hAnsi="Times New Roman" w:eastAsia="宋体" w:cs="Times New Roman"/>
                <w:kern w:val="2"/>
                <w:sz w:val="21"/>
                <w:szCs w:val="21"/>
                <w:lang w:val="en-US" w:eastAsia="zh-CN" w:bidi="ar-SA"/>
              </w:rPr>
            </w:pPr>
          </w:p>
        </w:tc>
      </w:tr>
    </w:tbl>
    <w:p w14:paraId="7D4E04DC">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备注：</w:t>
      </w:r>
    </w:p>
    <w:p w14:paraId="1FB1C3A1">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1. 每张表格只填写一个主要人员，并标明序号。</w:t>
      </w:r>
    </w:p>
    <w:p w14:paraId="46CC6627">
      <w:pPr>
        <w:widowControl w:val="0"/>
        <w:spacing w:line="400" w:lineRule="exact"/>
        <w:ind w:firstLine="420" w:firstLineChars="200"/>
        <w:jc w:val="both"/>
        <w:rPr>
          <w:rFonts w:ascii="Times New Roman" w:hAnsi="Times New Roman" w:eastAsia="宋体" w:cs="Times New Roman"/>
          <w:kern w:val="2"/>
          <w:sz w:val="21"/>
          <w:szCs w:val="20"/>
          <w:lang w:val="en-US" w:eastAsia="zh-CN" w:bidi="ar-SA"/>
        </w:rPr>
      </w:pPr>
      <w:r>
        <w:rPr>
          <w:rFonts w:ascii="Times New Roman" w:hAnsi="Times New Roman" w:eastAsia="宋体" w:cs="Times New Roman"/>
          <w:kern w:val="2"/>
          <w:sz w:val="21"/>
          <w:szCs w:val="20"/>
          <w:lang w:val="en-US" w:eastAsia="zh-CN" w:bidi="ar-SA"/>
        </w:rPr>
        <w:t xml:space="preserve">2. </w:t>
      </w:r>
      <w:r>
        <w:rPr>
          <w:rStyle w:val="25"/>
          <w:rFonts w:hint="eastAsia" w:ascii="Times New Roman" w:hAnsi="Times New Roman" w:eastAsia="宋体" w:cs="Times New Roman"/>
          <w:kern w:val="2"/>
          <w:sz w:val="21"/>
          <w:szCs w:val="20"/>
          <w:lang w:val="en-US" w:eastAsia="zh-CN" w:bidi="ar-SA"/>
        </w:rPr>
        <w:t>本表应按招标公告附录3资格审查条件(主要人员要求)要求填写，在本表后附相关证明材料</w:t>
      </w:r>
      <w:r>
        <w:rPr>
          <w:rFonts w:ascii="Times New Roman" w:hAnsi="Times New Roman" w:eastAsia="宋体" w:cs="Times New Roman"/>
          <w:kern w:val="2"/>
          <w:sz w:val="21"/>
          <w:szCs w:val="20"/>
          <w:lang w:val="en-US" w:eastAsia="zh-CN" w:bidi="ar-SA"/>
        </w:rPr>
        <w:t>。</w:t>
      </w:r>
    </w:p>
    <w:p w14:paraId="0DD993C9">
      <w:pPr>
        <w:pStyle w:val="69"/>
      </w:pPr>
      <w:r>
        <w:br w:type="page"/>
      </w:r>
    </w:p>
    <w:p w14:paraId="6C418BA4">
      <w:pPr>
        <w:widowControl w:val="0"/>
        <w:spacing w:before="260" w:after="260" w:line="413" w:lineRule="auto"/>
        <w:jc w:val="center"/>
        <w:outlineLvl w:val="2"/>
        <w:rPr>
          <w:rFonts w:ascii="Times New Roman" w:hAnsi="Times New Roman" w:eastAsia="黑体" w:cs="Times New Roman"/>
          <w:bCs/>
          <w:kern w:val="2"/>
          <w:sz w:val="28"/>
          <w:szCs w:val="32"/>
          <w:lang w:val="en-US" w:eastAsia="zh-CN" w:bidi="ar-SA"/>
        </w:rPr>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bookmarkStart w:id="352" w:name="_Toc10785"/>
      <w:bookmarkStart w:id="353" w:name="_Toc9396"/>
      <w:bookmarkStart w:id="354" w:name="_Toc256000057"/>
      <w:r>
        <w:rPr>
          <w:rFonts w:ascii="Times New Roman" w:hAnsi="Times New Roman" w:eastAsia="黑体" w:cs="Times New Roman"/>
          <w:bCs/>
          <w:kern w:val="2"/>
          <w:sz w:val="28"/>
          <w:szCs w:val="32"/>
          <w:lang w:val="en-US" w:eastAsia="zh-CN" w:bidi="ar-SA"/>
        </w:rPr>
        <w:t>（九） 其他要求资格审查资料</w:t>
      </w:r>
      <w:bookmarkEnd w:id="352"/>
      <w:bookmarkEnd w:id="353"/>
      <w:bookmarkEnd w:id="354"/>
    </w:p>
    <w:p w14:paraId="7120E1C1">
      <w:pPr>
        <w:widowControl/>
        <w:jc w:val="left"/>
        <w:outlineLvl w:val="1"/>
        <w:rPr>
          <w:rFonts w:ascii="黑体" w:hAnsi="黑体" w:eastAsia="黑体" w:cs="黑体"/>
          <w:kern w:val="0"/>
          <w:sz w:val="32"/>
          <w:szCs w:val="24"/>
          <w:lang w:eastAsia="en-US"/>
        </w:rPr>
      </w:pPr>
      <w:r>
        <w:rPr>
          <w:rFonts w:hint="eastAsia" w:eastAsia="黑体"/>
          <w:sz w:val="32"/>
          <w:lang w:val="en-US" w:eastAsia="zh-CN"/>
        </w:rPr>
        <w:t>八</w:t>
      </w:r>
      <w:r>
        <w:rPr>
          <w:rFonts w:eastAsia="黑体"/>
          <w:sz w:val="32"/>
        </w:rPr>
        <w:t>、</w:t>
      </w:r>
      <w:r>
        <w:rPr>
          <w:rFonts w:ascii="黑体" w:hAnsi="黑体" w:eastAsia="黑体" w:cs="黑体"/>
          <w:kern w:val="0"/>
          <w:sz w:val="32"/>
          <w:szCs w:val="24"/>
          <w:lang w:eastAsia="en-US"/>
        </w:rPr>
        <w:t>投标报价清单</w:t>
      </w:r>
    </w:p>
    <w:p w14:paraId="34753A1E">
      <w:pPr>
        <w:widowControl w:val="0"/>
        <w:numPr>
          <w:ilvl w:val="0"/>
          <w:numId w:val="24"/>
        </w:numPr>
        <w:spacing w:line="400" w:lineRule="atLeast"/>
        <w:ind w:left="840" w:hanging="1280" w:hangingChars="400"/>
        <w:jc w:val="center"/>
        <w:rPr>
          <w:rFonts w:ascii="宋体" w:hAnsi="宋体" w:eastAsia="宋体"/>
          <w:sz w:val="32"/>
          <w:szCs w:val="32"/>
        </w:rPr>
      </w:pPr>
      <w:r>
        <w:rPr>
          <w:rFonts w:ascii="宋体" w:hAnsi="宋体" w:eastAsia="宋体"/>
          <w:sz w:val="32"/>
          <w:szCs w:val="32"/>
        </w:rPr>
        <w:t>投标报价清单</w:t>
      </w:r>
    </w:p>
    <w:p w14:paraId="7D17A28B">
      <w:pPr>
        <w:widowControl w:val="0"/>
        <w:numPr>
          <w:ilvl w:val="-1"/>
          <w:numId w:val="0"/>
        </w:numPr>
        <w:spacing w:line="400" w:lineRule="atLeast"/>
        <w:ind w:left="-840" w:leftChars="-400" w:firstLine="0" w:firstLineChars="0"/>
        <w:jc w:val="both"/>
        <w:rPr>
          <w:rFonts w:ascii="宋体" w:hAnsi="宋体" w:eastAsia="宋体"/>
          <w:sz w:val="32"/>
          <w:szCs w:val="32"/>
          <w:lang w:val="en-US" w:eastAsia="zh-CN"/>
        </w:rPr>
      </w:pPr>
    </w:p>
    <w:p w14:paraId="34D6B8B9">
      <w:pPr>
        <w:widowControl/>
        <w:spacing w:before="0" w:after="0" w:line="240" w:lineRule="auto"/>
        <w:jc w:val="left"/>
        <w:outlineLvl w:val="9"/>
        <w:rPr>
          <w:rFonts w:ascii="Times New Roman" w:hAnsi="Times New Roman" w:eastAsia="黑体" w:cs="Times New Roman"/>
          <w:bCs/>
          <w:kern w:val="2"/>
          <w:sz w:val="28"/>
          <w:szCs w:val="32"/>
          <w:lang w:val="en-US" w:eastAsia="zh-CN" w:bidi="ar-SA"/>
        </w:rPr>
      </w:pPr>
      <w:r>
        <w:rPr>
          <w:rFonts w:ascii="Times New Roman" w:hAnsi="Times New Roman"/>
          <w:sz w:val="24"/>
        </w:rPr>
        <w:t>投标人应按照招标人提供的固化清单要求填报工程量清单，填写完成后上传至此</w:t>
      </w:r>
      <w:r>
        <w:rPr>
          <w:rFonts w:hint="eastAsia" w:ascii="Times New Roman" w:hAnsi="Times New Roman"/>
          <w:sz w:val="24"/>
          <w:lang w:eastAsia="zh-CN"/>
        </w:rPr>
        <w:t>。</w:t>
      </w:r>
    </w:p>
    <w:p w14:paraId="7CFA0DBA">
      <w:pPr>
        <w:widowControl/>
        <w:spacing w:before="0" w:after="0" w:line="240" w:lineRule="auto"/>
        <w:jc w:val="left"/>
        <w:outlineLvl w:val="9"/>
        <w:rPr>
          <w:rFonts w:ascii="Times New Roman" w:hAnsi="Times New Roman" w:eastAsia="黑体" w:cs="Times New Roman"/>
          <w:bCs/>
          <w:kern w:val="2"/>
          <w:sz w:val="28"/>
          <w:szCs w:val="32"/>
          <w:lang w:val="en-US" w:eastAsia="zh-CN" w:bidi="ar-SA"/>
        </w:rPr>
      </w:pPr>
      <w:r>
        <w:rPr>
          <w:rFonts w:ascii="Times New Roman" w:hAnsi="Times New Roman" w:eastAsia="黑体" w:cs="Times New Roman"/>
          <w:bCs/>
          <w:kern w:val="2"/>
          <w:sz w:val="28"/>
          <w:szCs w:val="32"/>
          <w:lang w:val="en-US" w:eastAsia="zh-CN" w:bidi="ar-SA"/>
        </w:rPr>
        <w:br w:type="page"/>
      </w:r>
    </w:p>
    <w:p w14:paraId="249E9AF2">
      <w:pPr>
        <w:pStyle w:val="72"/>
        <w:jc w:val="center"/>
        <w:outlineLvl w:val="1"/>
      </w:pPr>
      <w:bookmarkStart w:id="355" w:name="_Toc256000058"/>
      <w:bookmarkStart w:id="356" w:name="_Toc29110"/>
      <w:bookmarkStart w:id="357" w:name="_Toc21678"/>
      <w:bookmarkStart w:id="358" w:name="_Toc31519"/>
      <w:r>
        <w:rPr>
          <w:rFonts w:eastAsia="黑体"/>
          <w:sz w:val="32"/>
        </w:rPr>
        <w:t>九、技术建议书</w:t>
      </w:r>
      <w:bookmarkEnd w:id="355"/>
      <w:bookmarkEnd w:id="356"/>
      <w:bookmarkEnd w:id="357"/>
      <w:bookmarkEnd w:id="358"/>
    </w:p>
    <w:p w14:paraId="36E7D231">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7A36C9A5">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0CA5493F">
      <w:pPr>
        <w:widowControl w:val="0"/>
        <w:spacing w:line="400" w:lineRule="atLeas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技术建议书应当包括（但不限于）下列内容：</w:t>
      </w:r>
    </w:p>
    <w:p w14:paraId="2178FE77">
      <w:pPr>
        <w:widowControl w:val="0"/>
        <w:spacing w:line="400" w:lineRule="atLeast"/>
        <w:ind w:firstLine="420" w:firstLineChars="20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一、项目组织机构及人员组织</w:t>
      </w:r>
    </w:p>
    <w:p w14:paraId="5F431279">
      <w:pPr>
        <w:widowControl w:val="0"/>
        <w:spacing w:line="400" w:lineRule="atLeast"/>
        <w:ind w:firstLine="420" w:firstLineChars="20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二、</w:t>
      </w:r>
      <w:r>
        <w:rPr>
          <w:rFonts w:hint="eastAsia" w:ascii="Times New Roman" w:hAnsi="Times New Roman"/>
          <w:szCs w:val="21"/>
        </w:rPr>
        <w:t>观测（监测）方案</w:t>
      </w:r>
    </w:p>
    <w:p w14:paraId="496D6B78">
      <w:pPr>
        <w:widowControl w:val="0"/>
        <w:spacing w:line="400" w:lineRule="atLeast"/>
        <w:ind w:firstLine="420" w:firstLineChars="20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三、</w:t>
      </w:r>
      <w:r>
        <w:rPr>
          <w:rFonts w:hint="eastAsia"/>
          <w:szCs w:val="21"/>
        </w:rPr>
        <w:t>本项目实施过程中的重点、难点分析及其对策</w:t>
      </w:r>
    </w:p>
    <w:p w14:paraId="60D646AB">
      <w:pPr>
        <w:widowControl w:val="0"/>
        <w:spacing w:line="400" w:lineRule="atLeast"/>
        <w:ind w:firstLine="420" w:firstLineChars="20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四、</w:t>
      </w:r>
      <w:r>
        <w:rPr>
          <w:rFonts w:hint="eastAsia"/>
          <w:szCs w:val="21"/>
        </w:rPr>
        <w:t>监测工作及安全保证措施</w:t>
      </w:r>
    </w:p>
    <w:p w14:paraId="17F268E5">
      <w:pPr>
        <w:widowControl w:val="0"/>
        <w:spacing w:line="400" w:lineRule="atLeast"/>
        <w:ind w:firstLine="420" w:firstLineChars="20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五、</w:t>
      </w:r>
      <w:r>
        <w:rPr>
          <w:rFonts w:hint="eastAsia"/>
          <w:szCs w:val="21"/>
        </w:rPr>
        <w:t>现场配合与服务、有关本项目的其他建议</w:t>
      </w:r>
    </w:p>
    <w:p w14:paraId="58BA1BF7">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69FBC1D8">
      <w:pPr>
        <w:widowControl w:val="0"/>
        <w:spacing w:line="400" w:lineRule="atLeast"/>
        <w:ind w:firstLine="420" w:firstLineChars="200"/>
        <w:jc w:val="both"/>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投标人可根据自己公司自身情况和项目情况增加相关内容，格式自拟。</w:t>
      </w:r>
    </w:p>
    <w:p w14:paraId="156E15E0">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340F28AC">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248E36AF">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7E1408F3">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22432647">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42F2CDB1">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3D8B897D">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6793D273">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08455FE5">
      <w:pPr>
        <w:widowControl w:val="0"/>
        <w:spacing w:line="400" w:lineRule="atLeast"/>
        <w:ind w:left="840" w:hanging="840" w:hangingChars="400"/>
        <w:jc w:val="both"/>
        <w:rPr>
          <w:rFonts w:ascii="Times New Roman" w:hAnsi="Times New Roman" w:eastAsia="宋体" w:cs="Times New Roman"/>
          <w:kern w:val="2"/>
          <w:sz w:val="21"/>
          <w:szCs w:val="21"/>
          <w:lang w:val="en-US" w:eastAsia="zh-CN" w:bidi="ar-SA"/>
        </w:rPr>
      </w:pPr>
    </w:p>
    <w:p w14:paraId="23220979">
      <w:pPr>
        <w:pStyle w:val="74"/>
        <w:jc w:val="center"/>
        <w:outlineLvl w:val="1"/>
      </w:pPr>
      <w:r>
        <w:br w:type="page"/>
      </w:r>
      <w:bookmarkStart w:id="359" w:name="_Toc256000059"/>
      <w:bookmarkStart w:id="360" w:name="_Toc999"/>
      <w:bookmarkStart w:id="361" w:name="_Toc4247"/>
      <w:bookmarkStart w:id="362" w:name="_Toc6825"/>
      <w:r>
        <w:rPr>
          <w:rFonts w:eastAsia="黑体"/>
          <w:sz w:val="32"/>
        </w:rPr>
        <w:t>十、投标所需其他资料</w:t>
      </w:r>
      <w:bookmarkEnd w:id="359"/>
      <w:bookmarkEnd w:id="360"/>
      <w:bookmarkEnd w:id="361"/>
      <w:bookmarkEnd w:id="362"/>
    </w:p>
    <w:p w14:paraId="3A9B6ED2">
      <w:pPr>
        <w:rPr>
          <w:rFonts w:ascii="Times New Roman" w:hAnsi="Times New Roman"/>
          <w:highlight w:val="red"/>
        </w:rPr>
      </w:pPr>
    </w:p>
    <w:p w14:paraId="69287824">
      <w:pPr>
        <w:spacing w:line="360" w:lineRule="atLeast"/>
        <w:rPr>
          <w:rFonts w:ascii="Times New Roman" w:hAnsi="Times New Roman"/>
          <w:b/>
          <w:sz w:val="24"/>
          <w:szCs w:val="24"/>
        </w:rPr>
      </w:pPr>
      <w:r>
        <w:rPr>
          <w:rFonts w:ascii="Times New Roman" w:hAnsi="Times New Roman"/>
          <w:b/>
          <w:sz w:val="24"/>
          <w:szCs w:val="24"/>
        </w:rPr>
        <w:t>投标人认为有必要提供的其它相关资料。</w:t>
      </w:r>
    </w:p>
    <w:p w14:paraId="754777FA">
      <w:pPr>
        <w:rPr>
          <w:rFonts w:ascii="Times New Roman" w:hAnsi="Times New Roman"/>
          <w:sz w:val="24"/>
          <w:szCs w:val="24"/>
        </w:rPr>
      </w:pPr>
    </w:p>
    <w:p w14:paraId="6EEFC509">
      <w:r>
        <w:rPr>
          <w:rFonts w:ascii="Times New Roman" w:hAnsi="Times New Roman"/>
          <w:sz w:val="24"/>
          <w:szCs w:val="24"/>
        </w:rPr>
        <w:t>传到其他材料的内容将会在评标结果公示时作为公示附件公示在外网，请谨慎上传。</w:t>
      </w:r>
    </w:p>
    <w:bookmarkEnd w:id="306"/>
    <w:p w14:paraId="34B9FDFF">
      <w:pPr>
        <w:spacing w:line="360" w:lineRule="atLeast"/>
        <w:ind w:firstLine="420" w:firstLineChars="200"/>
        <w:rPr>
          <w:rFonts w:ascii="Times New Roman" w:hAnsi="Times New Roman"/>
          <w:szCs w:val="21"/>
        </w:rPr>
      </w:pPr>
    </w:p>
    <w:p w14:paraId="395CA613">
      <w:pPr>
        <w:sectPr>
          <w:pgSz w:w="11905" w:h="16838"/>
          <w:pgMar w:top="1440" w:right="1803" w:bottom="1440" w:left="1803" w:header="850" w:footer="850" w:gutter="0"/>
          <w:pgBorders>
            <w:top w:val="none" w:sz="0" w:space="0"/>
            <w:left w:val="none" w:sz="0" w:space="0"/>
            <w:bottom w:val="none" w:sz="0" w:space="0"/>
            <w:right w:val="none" w:sz="0" w:space="0"/>
          </w:pgBorders>
          <w:pgNumType w:fmt="decimal" w:start="1"/>
          <w:cols w:space="720" w:num="1"/>
          <w:docGrid w:linePitch="312" w:charSpace="0"/>
        </w:sectPr>
      </w:pPr>
    </w:p>
    <w:p w14:paraId="689FD6CA">
      <w:pPr>
        <w:spacing w:before="73" w:line="177" w:lineRule="auto"/>
        <w:ind w:left="3806" w:right="879" w:hanging="3004"/>
        <w:jc w:val="left"/>
        <w:rPr>
          <w:rFonts w:ascii="Microsoft JhengHei" w:eastAsia="Microsoft JhengHei"/>
          <w:b/>
          <w:sz w:val="28"/>
        </w:rPr>
      </w:pPr>
      <w:r>
        <w:rPr>
          <w:rFonts w:ascii="Microsoft JhengHei" w:eastAsia="Microsoft JhengHei"/>
          <w:b/>
          <w:color w:val="333333"/>
          <w:sz w:val="28"/>
        </w:rPr>
        <w:t>招标文件评标办法附件</w:t>
      </w:r>
      <w:r>
        <w:rPr>
          <w:rFonts w:ascii="Times New Roman" w:eastAsia="Times New Roman"/>
          <w:b/>
          <w:color w:val="333333"/>
          <w:sz w:val="28"/>
        </w:rPr>
        <w:t>-</w:t>
      </w:r>
      <w:r>
        <w:rPr>
          <w:rFonts w:ascii="Microsoft JhengHei" w:eastAsia="Microsoft JhengHei"/>
          <w:b/>
          <w:color w:val="333333"/>
          <w:sz w:val="28"/>
        </w:rPr>
        <w:t>《可能低于成本或者影响履约的异常低价说明、证明材料表》</w:t>
      </w:r>
    </w:p>
    <w:p w14:paraId="30316453">
      <w:pPr>
        <w:pStyle w:val="10"/>
        <w:spacing w:before="8"/>
        <w:rPr>
          <w:rFonts w:ascii="Microsoft JhengHei"/>
          <w:b/>
          <w:sz w:val="17"/>
        </w:rPr>
      </w:pPr>
    </w:p>
    <w:tbl>
      <w:tblPr>
        <w:tblStyle w:val="24"/>
        <w:tblW w:w="0" w:type="auto"/>
        <w:tblInd w:w="6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77"/>
        <w:gridCol w:w="1697"/>
        <w:gridCol w:w="5557"/>
      </w:tblGrid>
      <w:tr w14:paraId="2EB88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77" w:type="dxa"/>
          </w:tcPr>
          <w:p w14:paraId="023481A8">
            <w:pPr>
              <w:pStyle w:val="37"/>
              <w:spacing w:line="378" w:lineRule="exact"/>
              <w:ind w:left="15" w:right="1"/>
              <w:jc w:val="center"/>
              <w:rPr>
                <w:rFonts w:ascii="Microsoft JhengHei" w:eastAsia="Microsoft JhengHei"/>
                <w:b/>
                <w:sz w:val="24"/>
              </w:rPr>
            </w:pPr>
            <w:r>
              <w:rPr>
                <w:rFonts w:ascii="Microsoft JhengHei" w:eastAsia="Microsoft JhengHei"/>
                <w:b/>
                <w:spacing w:val="10"/>
                <w:sz w:val="24"/>
              </w:rPr>
              <w:t>类别</w:t>
            </w:r>
          </w:p>
        </w:tc>
        <w:tc>
          <w:tcPr>
            <w:tcW w:w="1697" w:type="dxa"/>
          </w:tcPr>
          <w:p w14:paraId="6AE550B5">
            <w:pPr>
              <w:pStyle w:val="37"/>
              <w:spacing w:line="378" w:lineRule="exact"/>
              <w:ind w:left="16" w:right="2"/>
              <w:jc w:val="center"/>
              <w:rPr>
                <w:rFonts w:ascii="Microsoft JhengHei" w:eastAsia="Microsoft JhengHei"/>
                <w:b/>
                <w:sz w:val="24"/>
              </w:rPr>
            </w:pPr>
            <w:r>
              <w:rPr>
                <w:rFonts w:ascii="Microsoft JhengHei" w:eastAsia="Microsoft JhengHei"/>
                <w:b/>
                <w:spacing w:val="10"/>
                <w:sz w:val="24"/>
              </w:rPr>
              <w:t>名称</w:t>
            </w:r>
          </w:p>
        </w:tc>
        <w:tc>
          <w:tcPr>
            <w:tcW w:w="5557" w:type="dxa"/>
          </w:tcPr>
          <w:p w14:paraId="7DD06D97">
            <w:pPr>
              <w:pStyle w:val="37"/>
              <w:spacing w:line="378" w:lineRule="exact"/>
              <w:ind w:left="511"/>
              <w:jc w:val="center"/>
              <w:rPr>
                <w:rFonts w:ascii="Microsoft JhengHei" w:eastAsia="Microsoft JhengHei"/>
                <w:b/>
                <w:sz w:val="24"/>
              </w:rPr>
            </w:pPr>
            <w:r>
              <w:rPr>
                <w:rFonts w:ascii="Microsoft JhengHei" w:eastAsia="Microsoft JhengHei"/>
                <w:b/>
                <w:spacing w:val="12"/>
                <w:sz w:val="24"/>
              </w:rPr>
              <w:t>具体内容</w:t>
            </w:r>
          </w:p>
        </w:tc>
      </w:tr>
      <w:tr w14:paraId="61C0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7" w:hRule="atLeast"/>
        </w:trPr>
        <w:tc>
          <w:tcPr>
            <w:tcW w:w="1277" w:type="dxa"/>
          </w:tcPr>
          <w:p w14:paraId="57198CB3">
            <w:pPr>
              <w:pStyle w:val="37"/>
              <w:rPr>
                <w:rFonts w:ascii="Microsoft JhengHei"/>
                <w:b/>
                <w:sz w:val="24"/>
              </w:rPr>
            </w:pPr>
          </w:p>
          <w:p w14:paraId="65502BBE">
            <w:pPr>
              <w:pStyle w:val="37"/>
              <w:spacing w:before="96"/>
              <w:rPr>
                <w:rFonts w:ascii="Microsoft JhengHei"/>
                <w:b/>
                <w:sz w:val="24"/>
              </w:rPr>
            </w:pPr>
          </w:p>
          <w:p w14:paraId="2B8A87B4">
            <w:pPr>
              <w:pStyle w:val="37"/>
              <w:ind w:left="188"/>
              <w:rPr>
                <w:sz w:val="24"/>
              </w:rPr>
            </w:pPr>
            <w:r>
              <w:rPr>
                <w:rFonts w:ascii="Times New Roman" w:eastAsia="Times New Roman"/>
                <w:spacing w:val="-2"/>
                <w:sz w:val="24"/>
              </w:rPr>
              <w:t>1.</w:t>
            </w:r>
            <w:r>
              <w:rPr>
                <w:spacing w:val="-5"/>
                <w:sz w:val="24"/>
              </w:rPr>
              <w:t>说明类</w:t>
            </w:r>
          </w:p>
        </w:tc>
        <w:tc>
          <w:tcPr>
            <w:tcW w:w="1697" w:type="dxa"/>
          </w:tcPr>
          <w:p w14:paraId="389B5ED4">
            <w:pPr>
              <w:pStyle w:val="37"/>
              <w:rPr>
                <w:rFonts w:ascii="Microsoft JhengHei"/>
                <w:b/>
                <w:sz w:val="24"/>
              </w:rPr>
            </w:pPr>
          </w:p>
          <w:p w14:paraId="1744A85D">
            <w:pPr>
              <w:pStyle w:val="37"/>
              <w:spacing w:before="96"/>
              <w:rPr>
                <w:rFonts w:ascii="Microsoft JhengHei"/>
                <w:b/>
                <w:sz w:val="24"/>
              </w:rPr>
            </w:pPr>
          </w:p>
          <w:p w14:paraId="36ADC0EF">
            <w:pPr>
              <w:pStyle w:val="37"/>
              <w:ind w:left="16" w:right="1"/>
              <w:jc w:val="center"/>
              <w:rPr>
                <w:sz w:val="24"/>
              </w:rPr>
            </w:pPr>
            <w:r>
              <w:rPr>
                <w:spacing w:val="-3"/>
                <w:sz w:val="24"/>
              </w:rPr>
              <w:t>书面说明</w:t>
            </w:r>
          </w:p>
        </w:tc>
        <w:tc>
          <w:tcPr>
            <w:tcW w:w="5557" w:type="dxa"/>
          </w:tcPr>
          <w:p w14:paraId="558CA690">
            <w:pPr>
              <w:pStyle w:val="37"/>
              <w:spacing w:before="9" w:line="194" w:lineRule="auto"/>
              <w:ind w:left="112" w:right="79"/>
              <w:rPr>
                <w:sz w:val="24"/>
              </w:rPr>
            </w:pPr>
            <w:r>
              <w:rPr>
                <w:spacing w:val="-8"/>
                <w:sz w:val="24"/>
              </w:rPr>
              <w:t>系统、详细阐述其投标报价</w:t>
            </w:r>
            <w:r>
              <w:rPr>
                <w:rFonts w:ascii="微软雅黑" w:hAnsi="微软雅黑" w:eastAsia="微软雅黑"/>
                <w:b/>
                <w:spacing w:val="7"/>
                <w:sz w:val="24"/>
              </w:rPr>
              <w:t>是否</w:t>
            </w:r>
            <w:r>
              <w:rPr>
                <w:sz w:val="24"/>
              </w:rPr>
              <w:t>属于</w:t>
            </w:r>
            <w:r>
              <w:rPr>
                <w:rFonts w:ascii="Times New Roman" w:hAnsi="Times New Roman" w:eastAsia="Times New Roman"/>
                <w:sz w:val="24"/>
              </w:rPr>
              <w:t>“</w:t>
            </w:r>
            <w:r>
              <w:rPr>
                <w:sz w:val="24"/>
              </w:rPr>
              <w:t>低于成本或者</w:t>
            </w:r>
            <w:r>
              <w:rPr>
                <w:spacing w:val="-1"/>
                <w:sz w:val="24"/>
              </w:rPr>
              <w:t>影响履约的异常低价</w:t>
            </w:r>
            <w:r>
              <w:rPr>
                <w:rFonts w:ascii="Times New Roman" w:hAnsi="Times New Roman" w:eastAsia="Times New Roman"/>
                <w:spacing w:val="-1"/>
                <w:sz w:val="24"/>
              </w:rPr>
              <w:t>”</w:t>
            </w:r>
            <w:r>
              <w:rPr>
                <w:spacing w:val="-10"/>
                <w:sz w:val="24"/>
              </w:rPr>
              <w:t>的理由；承诺投标报价是否改</w:t>
            </w:r>
          </w:p>
          <w:p w14:paraId="5D3EA40F">
            <w:pPr>
              <w:pStyle w:val="37"/>
              <w:spacing w:before="18" w:line="237" w:lineRule="auto"/>
              <w:ind w:left="112" w:right="91"/>
              <w:jc w:val="both"/>
              <w:rPr>
                <w:sz w:val="24"/>
              </w:rPr>
            </w:pPr>
            <w:r>
              <w:rPr>
                <w:sz w:val="24"/>
              </w:rPr>
              <w:t>变招标文件规定的统一报价基础，是否降低招标文件要求的设计、技术、质量、安全、耐久、环保、美观和服务等标准，是否增加全寿命周期运行维护</w:t>
            </w:r>
            <w:r>
              <w:rPr>
                <w:spacing w:val="-1"/>
                <w:sz w:val="24"/>
              </w:rPr>
              <w:t>次数和成本，是否会延误工期或服务期或供货期，</w:t>
            </w:r>
          </w:p>
          <w:p w14:paraId="17CA3F25">
            <w:pPr>
              <w:pStyle w:val="37"/>
              <w:spacing w:before="8" w:line="300" w:lineRule="exact"/>
              <w:ind w:left="112"/>
              <w:rPr>
                <w:sz w:val="24"/>
              </w:rPr>
            </w:pPr>
            <w:r>
              <w:rPr>
                <w:spacing w:val="-1"/>
                <w:sz w:val="24"/>
              </w:rPr>
              <w:t>是否愿意接受发包人提出的增加履约担保的要求。</w:t>
            </w:r>
          </w:p>
        </w:tc>
      </w:tr>
      <w:tr w14:paraId="746FE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1277" w:type="dxa"/>
            <w:vMerge w:val="restart"/>
          </w:tcPr>
          <w:p w14:paraId="3E32164E">
            <w:pPr>
              <w:pStyle w:val="37"/>
              <w:spacing w:before="361"/>
              <w:rPr>
                <w:rFonts w:ascii="Microsoft JhengHei"/>
                <w:b/>
                <w:sz w:val="24"/>
              </w:rPr>
            </w:pPr>
          </w:p>
          <w:p w14:paraId="7CBC6F70">
            <w:pPr>
              <w:pStyle w:val="37"/>
              <w:spacing w:line="242" w:lineRule="auto"/>
              <w:ind w:left="397" w:right="170" w:hanging="210"/>
              <w:rPr>
                <w:sz w:val="24"/>
              </w:rPr>
            </w:pPr>
            <w:r>
              <w:rPr>
                <w:rFonts w:ascii="Times New Roman" w:eastAsia="Times New Roman"/>
                <w:spacing w:val="-2"/>
                <w:sz w:val="24"/>
              </w:rPr>
              <w:t>2.</w:t>
            </w:r>
            <w:r>
              <w:rPr>
                <w:spacing w:val="-2"/>
                <w:sz w:val="24"/>
              </w:rPr>
              <w:t>证明材</w:t>
            </w:r>
            <w:r>
              <w:rPr>
                <w:spacing w:val="-6"/>
                <w:sz w:val="24"/>
              </w:rPr>
              <w:t>料类</w:t>
            </w:r>
          </w:p>
        </w:tc>
        <w:tc>
          <w:tcPr>
            <w:tcW w:w="1697" w:type="dxa"/>
          </w:tcPr>
          <w:p w14:paraId="22E1F312">
            <w:pPr>
              <w:pStyle w:val="37"/>
              <w:spacing w:before="296"/>
              <w:ind w:left="16" w:right="1"/>
              <w:jc w:val="center"/>
              <w:rPr>
                <w:sz w:val="24"/>
              </w:rPr>
            </w:pPr>
            <w:r>
              <w:rPr>
                <w:spacing w:val="-2"/>
                <w:sz w:val="24"/>
              </w:rPr>
              <w:t>成本分析表</w:t>
            </w:r>
          </w:p>
        </w:tc>
        <w:tc>
          <w:tcPr>
            <w:tcW w:w="5557" w:type="dxa"/>
          </w:tcPr>
          <w:p w14:paraId="2D954B14">
            <w:pPr>
              <w:pStyle w:val="37"/>
              <w:spacing w:before="5" w:line="230" w:lineRule="auto"/>
              <w:ind w:left="112" w:right="91"/>
              <w:rPr>
                <w:sz w:val="24"/>
              </w:rPr>
            </w:pPr>
            <w:r>
              <w:rPr>
                <w:sz w:val="24"/>
              </w:rPr>
              <w:t>逐项列出投标报价和完成项目预计的人工、材料、</w:t>
            </w:r>
            <w:r>
              <w:rPr>
                <w:spacing w:val="-1"/>
                <w:sz w:val="24"/>
              </w:rPr>
              <w:t>机械、管理费、税费等成本，并将投标报价与项目</w:t>
            </w:r>
          </w:p>
          <w:p w14:paraId="393B6039">
            <w:pPr>
              <w:pStyle w:val="37"/>
              <w:spacing w:before="7" w:line="299" w:lineRule="exact"/>
              <w:ind w:left="112"/>
              <w:rPr>
                <w:sz w:val="24"/>
              </w:rPr>
            </w:pPr>
            <w:r>
              <w:rPr>
                <w:spacing w:val="-2"/>
                <w:sz w:val="24"/>
              </w:rPr>
              <w:t>总成本进行对比。</w:t>
            </w:r>
          </w:p>
        </w:tc>
      </w:tr>
      <w:tr w14:paraId="2BC81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277" w:type="dxa"/>
            <w:vMerge w:val="continue"/>
            <w:tcBorders>
              <w:top w:val="nil"/>
            </w:tcBorders>
          </w:tcPr>
          <w:p w14:paraId="7F8B791D">
            <w:pPr>
              <w:rPr>
                <w:sz w:val="2"/>
                <w:szCs w:val="2"/>
              </w:rPr>
            </w:pPr>
          </w:p>
        </w:tc>
        <w:tc>
          <w:tcPr>
            <w:tcW w:w="1697" w:type="dxa"/>
          </w:tcPr>
          <w:p w14:paraId="609FE250">
            <w:pPr>
              <w:pStyle w:val="37"/>
              <w:spacing w:line="293" w:lineRule="exact"/>
              <w:ind w:left="16"/>
              <w:jc w:val="center"/>
              <w:rPr>
                <w:sz w:val="24"/>
              </w:rPr>
            </w:pPr>
            <w:r>
              <w:rPr>
                <w:spacing w:val="-2"/>
                <w:sz w:val="24"/>
              </w:rPr>
              <w:t>近期采购发票</w:t>
            </w:r>
          </w:p>
          <w:p w14:paraId="4BC3735D">
            <w:pPr>
              <w:pStyle w:val="37"/>
              <w:spacing w:before="3" w:line="300" w:lineRule="exact"/>
              <w:ind w:left="16" w:right="1"/>
              <w:jc w:val="center"/>
              <w:rPr>
                <w:sz w:val="24"/>
              </w:rPr>
            </w:pPr>
            <w:r>
              <w:rPr>
                <w:rFonts w:ascii="Times New Roman" w:eastAsia="Times New Roman"/>
                <w:spacing w:val="-4"/>
                <w:sz w:val="24"/>
              </w:rPr>
              <w:t>/</w:t>
            </w:r>
            <w:r>
              <w:rPr>
                <w:spacing w:val="-7"/>
                <w:sz w:val="24"/>
              </w:rPr>
              <w:t>合同</w:t>
            </w:r>
          </w:p>
        </w:tc>
        <w:tc>
          <w:tcPr>
            <w:tcW w:w="5557" w:type="dxa"/>
          </w:tcPr>
          <w:p w14:paraId="5C55E07B">
            <w:pPr>
              <w:pStyle w:val="37"/>
              <w:spacing w:line="293" w:lineRule="exact"/>
              <w:ind w:left="112"/>
              <w:rPr>
                <w:sz w:val="24"/>
              </w:rPr>
            </w:pPr>
            <w:r>
              <w:rPr>
                <w:spacing w:val="-1"/>
                <w:sz w:val="24"/>
              </w:rPr>
              <w:t>提供主要材料、设备的采购发票或合同扫描件，证</w:t>
            </w:r>
          </w:p>
          <w:p w14:paraId="06848E37">
            <w:pPr>
              <w:pStyle w:val="37"/>
              <w:spacing w:before="3" w:line="300" w:lineRule="exact"/>
              <w:ind w:left="112"/>
              <w:rPr>
                <w:sz w:val="24"/>
              </w:rPr>
            </w:pPr>
            <w:r>
              <w:rPr>
                <w:spacing w:val="-1"/>
                <w:sz w:val="24"/>
              </w:rPr>
              <w:t>明实际采购成本并与市场价进行对比。</w:t>
            </w:r>
          </w:p>
        </w:tc>
      </w:tr>
      <w:tr w14:paraId="6F408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277" w:type="dxa"/>
            <w:vMerge w:val="continue"/>
            <w:tcBorders>
              <w:top w:val="nil"/>
            </w:tcBorders>
          </w:tcPr>
          <w:p w14:paraId="09C94353">
            <w:pPr>
              <w:rPr>
                <w:sz w:val="2"/>
                <w:szCs w:val="2"/>
              </w:rPr>
            </w:pPr>
          </w:p>
        </w:tc>
        <w:tc>
          <w:tcPr>
            <w:tcW w:w="1697" w:type="dxa"/>
          </w:tcPr>
          <w:p w14:paraId="57EB4323">
            <w:pPr>
              <w:pStyle w:val="37"/>
              <w:spacing w:before="145"/>
              <w:ind w:left="16"/>
              <w:jc w:val="center"/>
              <w:rPr>
                <w:sz w:val="24"/>
              </w:rPr>
            </w:pPr>
            <w:r>
              <w:rPr>
                <w:spacing w:val="-2"/>
                <w:sz w:val="24"/>
              </w:rPr>
              <w:t>人工成本证明</w:t>
            </w:r>
          </w:p>
        </w:tc>
        <w:tc>
          <w:tcPr>
            <w:tcW w:w="5557" w:type="dxa"/>
          </w:tcPr>
          <w:p w14:paraId="0B9C46C2">
            <w:pPr>
              <w:pStyle w:val="37"/>
              <w:spacing w:line="302" w:lineRule="exact"/>
              <w:ind w:left="112"/>
              <w:rPr>
                <w:sz w:val="24"/>
              </w:rPr>
            </w:pPr>
            <w:r>
              <w:rPr>
                <w:spacing w:val="-4"/>
                <w:sz w:val="24"/>
              </w:rPr>
              <w:t xml:space="preserve">拟投入项目人员近 </w:t>
            </w:r>
            <w:r>
              <w:rPr>
                <w:rFonts w:ascii="Times New Roman" w:eastAsia="Times New Roman"/>
                <w:sz w:val="24"/>
              </w:rPr>
              <w:t>1</w:t>
            </w:r>
            <w:r>
              <w:rPr>
                <w:rFonts w:ascii="Times New Roman" w:eastAsia="Times New Roman"/>
                <w:spacing w:val="30"/>
                <w:sz w:val="24"/>
              </w:rPr>
              <w:t xml:space="preserve"> </w:t>
            </w:r>
            <w:r>
              <w:rPr>
                <w:spacing w:val="-1"/>
                <w:sz w:val="24"/>
              </w:rPr>
              <w:t>年工资表、社保证明等，证明</w:t>
            </w:r>
          </w:p>
          <w:p w14:paraId="01DFF06B">
            <w:pPr>
              <w:pStyle w:val="37"/>
              <w:spacing w:line="294" w:lineRule="exact"/>
              <w:ind w:left="112"/>
              <w:rPr>
                <w:sz w:val="24"/>
              </w:rPr>
            </w:pPr>
            <w:r>
              <w:rPr>
                <w:spacing w:val="-2"/>
                <w:sz w:val="24"/>
              </w:rPr>
              <w:t>实际人工成本。</w:t>
            </w:r>
          </w:p>
        </w:tc>
      </w:tr>
      <w:tr w14:paraId="37FFC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07" w:hRule="atLeast"/>
        </w:trPr>
        <w:tc>
          <w:tcPr>
            <w:tcW w:w="1277" w:type="dxa"/>
          </w:tcPr>
          <w:p w14:paraId="3E8FBB60">
            <w:pPr>
              <w:pStyle w:val="37"/>
              <w:rPr>
                <w:rFonts w:ascii="Microsoft JhengHei"/>
                <w:b/>
                <w:sz w:val="24"/>
              </w:rPr>
            </w:pPr>
          </w:p>
          <w:p w14:paraId="39A3259A">
            <w:pPr>
              <w:pStyle w:val="37"/>
              <w:spacing w:before="411"/>
              <w:rPr>
                <w:rFonts w:ascii="Microsoft JhengHei"/>
                <w:b/>
                <w:sz w:val="24"/>
              </w:rPr>
            </w:pPr>
          </w:p>
          <w:p w14:paraId="2BA9F124">
            <w:pPr>
              <w:pStyle w:val="37"/>
              <w:spacing w:before="1" w:line="242" w:lineRule="auto"/>
              <w:ind w:left="397" w:right="170" w:hanging="210"/>
              <w:rPr>
                <w:sz w:val="24"/>
              </w:rPr>
            </w:pPr>
            <w:r>
              <w:rPr>
                <w:rFonts w:ascii="Times New Roman" w:eastAsia="Times New Roman"/>
                <w:spacing w:val="-2"/>
                <w:sz w:val="24"/>
              </w:rPr>
              <w:t>3.</w:t>
            </w:r>
            <w:r>
              <w:rPr>
                <w:spacing w:val="-2"/>
                <w:sz w:val="24"/>
              </w:rPr>
              <w:t>证明材</w:t>
            </w:r>
            <w:r>
              <w:rPr>
                <w:spacing w:val="-6"/>
                <w:sz w:val="24"/>
              </w:rPr>
              <w:t>料类</w:t>
            </w:r>
          </w:p>
        </w:tc>
        <w:tc>
          <w:tcPr>
            <w:tcW w:w="1697" w:type="dxa"/>
          </w:tcPr>
          <w:p w14:paraId="04AA7941">
            <w:pPr>
              <w:pStyle w:val="37"/>
              <w:rPr>
                <w:rFonts w:ascii="Microsoft JhengHei"/>
                <w:b/>
                <w:sz w:val="24"/>
              </w:rPr>
            </w:pPr>
          </w:p>
          <w:p w14:paraId="4DB1CA24">
            <w:pPr>
              <w:pStyle w:val="37"/>
              <w:spacing w:before="411"/>
              <w:rPr>
                <w:rFonts w:ascii="Microsoft JhengHei"/>
                <w:b/>
                <w:sz w:val="24"/>
              </w:rPr>
            </w:pPr>
          </w:p>
          <w:p w14:paraId="66E8623F">
            <w:pPr>
              <w:pStyle w:val="37"/>
              <w:spacing w:before="1" w:line="242" w:lineRule="auto"/>
              <w:ind w:left="608" w:right="109" w:hanging="481"/>
              <w:rPr>
                <w:sz w:val="24"/>
              </w:rPr>
            </w:pPr>
            <w:r>
              <w:rPr>
                <w:spacing w:val="-2"/>
                <w:sz w:val="24"/>
              </w:rPr>
              <w:t>近年类似项目</w:t>
            </w:r>
            <w:r>
              <w:rPr>
                <w:spacing w:val="-6"/>
                <w:sz w:val="24"/>
              </w:rPr>
              <w:t>业绩</w:t>
            </w:r>
          </w:p>
        </w:tc>
        <w:tc>
          <w:tcPr>
            <w:tcW w:w="5557" w:type="dxa"/>
          </w:tcPr>
          <w:p w14:paraId="32B14FA5">
            <w:pPr>
              <w:pStyle w:val="37"/>
              <w:ind w:left="112" w:right="91"/>
              <w:jc w:val="both"/>
              <w:rPr>
                <w:sz w:val="24"/>
              </w:rPr>
            </w:pPr>
            <w:r>
              <w:rPr>
                <w:sz w:val="24"/>
              </w:rPr>
              <w:t>近年完成类似项目的业绩，并说明其成交价或合同价指标与项目投标报价指标的对比关系，提供下列业绩证明材料（包括但不限于</w:t>
            </w:r>
            <w:r>
              <w:rPr>
                <w:spacing w:val="11"/>
                <w:sz w:val="24"/>
              </w:rPr>
              <w:t>）</w:t>
            </w:r>
            <w:r>
              <w:rPr>
                <w:sz w:val="24"/>
              </w:rPr>
              <w:t>中的一种或多种：网上招标（询比</w:t>
            </w:r>
            <w:r>
              <w:rPr>
                <w:spacing w:val="11"/>
                <w:sz w:val="24"/>
              </w:rPr>
              <w:t>）</w:t>
            </w:r>
            <w:r>
              <w:rPr>
                <w:sz w:val="24"/>
              </w:rPr>
              <w:t>公告、中标公示的截图和网址、中标通知书、合同协议书、项目完工证明材料（如批复文件、交工验收证书、竣工验收证书、业主出具的履约证明材料等</w:t>
            </w:r>
            <w:r>
              <w:rPr>
                <w:spacing w:val="-120"/>
                <w:sz w:val="24"/>
              </w:rPr>
              <w:t>）</w:t>
            </w:r>
            <w:r>
              <w:rPr>
                <w:spacing w:val="2"/>
                <w:sz w:val="24"/>
              </w:rPr>
              <w:t>、交通运输部</w:t>
            </w:r>
            <w:r>
              <w:rPr>
                <w:rFonts w:ascii="Times New Roman" w:hAnsi="Times New Roman" w:eastAsia="Times New Roman"/>
                <w:sz w:val="24"/>
              </w:rPr>
              <w:t>“</w:t>
            </w:r>
            <w:r>
              <w:rPr>
                <w:sz w:val="24"/>
              </w:rPr>
              <w:t>全国公路建设</w:t>
            </w:r>
            <w:r>
              <w:rPr>
                <w:spacing w:val="-2"/>
                <w:sz w:val="24"/>
              </w:rPr>
              <w:t>市场监督管理系统</w:t>
            </w:r>
            <w:r>
              <w:rPr>
                <w:rFonts w:ascii="Times New Roman" w:hAnsi="Times New Roman" w:eastAsia="Times New Roman"/>
                <w:spacing w:val="-2"/>
                <w:sz w:val="24"/>
              </w:rPr>
              <w:t>”</w:t>
            </w:r>
            <w:r>
              <w:rPr>
                <w:spacing w:val="-2"/>
                <w:sz w:val="24"/>
              </w:rPr>
              <w:t>截图等</w:t>
            </w:r>
          </w:p>
          <w:p w14:paraId="04797E9C">
            <w:pPr>
              <w:pStyle w:val="37"/>
              <w:spacing w:line="309" w:lineRule="exact"/>
              <w:ind w:left="112"/>
              <w:rPr>
                <w:sz w:val="24"/>
              </w:rPr>
            </w:pPr>
            <w:r>
              <w:rPr>
                <w:spacing w:val="-1"/>
                <w:sz w:val="24"/>
              </w:rPr>
              <w:t>注：类似项目业绩及其证明材料可参考招标文件中</w:t>
            </w:r>
          </w:p>
          <w:p w14:paraId="49544E46">
            <w:pPr>
              <w:pStyle w:val="37"/>
              <w:spacing w:line="284" w:lineRule="exact"/>
              <w:ind w:left="112"/>
              <w:rPr>
                <w:sz w:val="24"/>
              </w:rPr>
            </w:pPr>
            <w:r>
              <w:rPr>
                <w:rFonts w:ascii="Times New Roman" w:hAnsi="Times New Roman" w:eastAsia="Times New Roman"/>
                <w:spacing w:val="-4"/>
                <w:sz w:val="24"/>
              </w:rPr>
              <w:t>“</w:t>
            </w:r>
            <w:r>
              <w:rPr>
                <w:spacing w:val="-4"/>
                <w:sz w:val="24"/>
              </w:rPr>
              <w:t>业绩最低要求</w:t>
            </w:r>
            <w:r>
              <w:rPr>
                <w:rFonts w:ascii="Times New Roman" w:hAnsi="Times New Roman" w:eastAsia="Times New Roman"/>
                <w:spacing w:val="-4"/>
                <w:sz w:val="24"/>
              </w:rPr>
              <w:t>”</w:t>
            </w:r>
            <w:r>
              <w:rPr>
                <w:spacing w:val="-6"/>
                <w:sz w:val="24"/>
              </w:rPr>
              <w:t>的规定。</w:t>
            </w:r>
          </w:p>
        </w:tc>
      </w:tr>
    </w:tbl>
    <w:p w14:paraId="274D6729"/>
    <w:p w14:paraId="362E8F2F"/>
    <w:sectPr>
      <w:pgSz w:w="11910" w:h="16850"/>
      <w:pgMar w:top="1380" w:right="920" w:bottom="1060" w:left="1000" w:header="0" w:footer="86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94C36">
    <w:pPr>
      <w:widowControl w:val="0"/>
      <w:snapToGrid w:val="0"/>
      <w:ind w:firstLine="360"/>
      <w:jc w:val="center"/>
      <w:rPr>
        <w:rFonts w:ascii="Calibri" w:hAnsi="Calibri"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BDF2">
    <w:pPr>
      <w:widowControl w:val="0"/>
      <w:snapToGrid w:val="0"/>
      <w:jc w:val="center"/>
      <w:rPr>
        <w:rFonts w:ascii="Calibri" w:hAnsi="Calibri" w:eastAsia="宋体" w:cs="Times New Roman"/>
        <w:kern w:val="2"/>
        <w:sz w:val="18"/>
        <w:szCs w:val="18"/>
        <w:lang w:val="en-US" w:eastAsia="zh-CN" w:bidi="ar-SA"/>
      </w:rPr>
    </w:pPr>
  </w:p>
  <w:p w14:paraId="08F1F40F">
    <w:pPr>
      <w:widowControl w:val="0"/>
      <w:snapToGrid w:val="0"/>
      <w:jc w:val="left"/>
      <w:rPr>
        <w:rFonts w:hint="eastAsia" w:ascii="Calibri" w:hAnsi="Calibri"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6A9E0">
    <w:pPr>
      <w:framePr w:wrap="around" w:vAnchor="text" w:hAnchor="margin" w:xAlign="center" w:y="1"/>
      <w:widowControl w:val="0"/>
      <w:snapToGrid w:val="0"/>
      <w:ind w:firstLine="360"/>
      <w:jc w:val="left"/>
      <w:rPr>
        <w:rStyle w:val="26"/>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Style w:val="26"/>
        <w:rFonts w:ascii="Calibri" w:hAnsi="Calibri" w:eastAsia="宋体" w:cs="Times New Roman"/>
        <w:kern w:val="2"/>
        <w:sz w:val="21"/>
        <w:szCs w:val="22"/>
        <w:highlight w:val="white"/>
        <w:lang w:val="en-US" w:eastAsia="zh-CN" w:bidi="ar-SA"/>
      </w:rPr>
      <w:instrText xml:space="preserve">PAGE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fldChar w:fldCharType="end"/>
    </w:r>
  </w:p>
  <w:p w14:paraId="7541E54D">
    <w:pPr>
      <w:widowControl w:val="0"/>
      <w:snapToGrid w:val="0"/>
      <w:ind w:right="360" w:firstLine="360"/>
      <w:jc w:val="left"/>
      <w:rPr>
        <w:rFonts w:ascii="Calibri" w:hAnsi="Calibri"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36726">
    <w:pPr>
      <w:widowControl w:val="0"/>
      <w:snapToGrid w:val="0"/>
      <w:jc w:val="center"/>
      <w:rPr>
        <w:rFonts w:ascii="Calibri" w:hAnsi="Calibri" w:eastAsia="宋体" w:cs="Times New Roman"/>
        <w:kern w:val="2"/>
        <w:sz w:val="18"/>
        <w:szCs w:val="18"/>
        <w:lang w:val="en-US" w:eastAsia="zh-CN" w:bidi="ar-SA"/>
      </w:rPr>
    </w:pPr>
  </w:p>
  <w:p w14:paraId="22331C8A">
    <w:pPr>
      <w:widowControl w:val="0"/>
      <w:snapToGrid w:val="0"/>
      <w:jc w:val="left"/>
      <w:rPr>
        <w:rFonts w:hint="eastAsia" w:ascii="Calibri" w:hAnsi="Calibri"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6EAC5">
    <w:pPr>
      <w:pStyle w:val="16"/>
      <w:jc w:val="center"/>
    </w:pPr>
  </w:p>
  <w:p w14:paraId="68E37589">
    <w:pPr>
      <w:pStyle w:val="1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0E0E6">
    <w:pPr>
      <w:widowControl w:val="0"/>
      <w:pBdr>
        <w:bottom w:val="single" w:color="auto" w:sz="6" w:space="1"/>
      </w:pBdr>
      <w:wordWrap w:val="0"/>
      <w:snapToGrid w:val="0"/>
      <w:ind w:right="380" w:firstLine="360"/>
      <w:jc w:val="both"/>
      <w:rPr>
        <w:rFonts w:ascii="Calibri" w:hAnsi="Calibri" w:eastAsia="宋体" w:cs="Times New Roman"/>
        <w:kern w:val="2"/>
        <w:sz w:val="17"/>
        <w:szCs w:val="17"/>
        <w:lang w:val="en-US" w:eastAsia="zh-CN" w:bidi="ar-SA"/>
      </w:rPr>
    </w:pPr>
    <w:r>
      <w:rPr>
        <w:rFonts w:ascii="Calibri" w:hAnsi="Calibri"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-44450</wp:posOffset>
              </wp:positionH>
              <wp:positionV relativeFrom="paragraph">
                <wp:posOffset>175895</wp:posOffset>
              </wp:positionV>
              <wp:extent cx="5342255"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342255" cy="635"/>
                      </a:xfrm>
                      <a:prstGeom prst="line">
                        <a:avLst/>
                      </a:prstGeom>
                      <a:ln w="9525" cap="flat" cmpd="thickThin">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5pt;margin-top:13.85pt;height:0.05pt;width:420.65pt;z-index:251660288;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DXBeh2AAAAAgBAAAPAAAAAAAAAAEAIAAAACIAAABkcnMvZG93bnJldi54&#10;bWxQSwECFAAUAAAACACHTuJAsKGWiPoBAADuAwAADgAAAAAAAAABACAAAAAnAQAAZHJzL2Uyb0Rv&#10;Yy54bWxQSwUGAAAAAAYABgBZAQAAkwUAAAAA&#10;">
              <v:fill on="f" focussize="0,0"/>
              <v:stroke color="#000000" linestyle="thickThin" joinstyle="round"/>
              <v:imagedata o:title=""/>
              <o:lock v:ext="edit" aspectratio="f"/>
            </v:line>
          </w:pict>
        </mc:Fallback>
      </mc:AlternateContent>
    </w:r>
    <w:r>
      <w:rPr>
        <w:rFonts w:hint="eastAsia" w:ascii="Calibri" w:hAnsi="Calibri" w:eastAsia="宋体" w:cs="Times New Roman"/>
        <w:kern w:val="2"/>
        <w:sz w:val="17"/>
        <w:szCs w:val="17"/>
        <w:highlight w:val="white"/>
        <w:lang w:val="en-US" w:eastAsia="zh-CN" w:bidi="ar-S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2FD4E">
    <w:pPr>
      <w:widowControl w:val="0"/>
      <w:pBdr>
        <w:bottom w:val="none" w:color="auto" w:sz="0" w:space="0"/>
      </w:pBdr>
      <w:snapToGrid w:val="0"/>
      <w:ind w:firstLine="360"/>
      <w:jc w:val="center"/>
      <w:rPr>
        <w:rFonts w:ascii="Calibri" w:hAnsi="Calibri" w:eastAsia="宋体" w:cs="Times New Roman"/>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A4C05">
    <w:pPr>
      <w:pStyle w:val="17"/>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89AF4"/>
    <w:multiLevelType w:val="multilevel"/>
    <w:tmpl w:val="83489AF4"/>
    <w:lvl w:ilvl="0" w:tentative="0">
      <w:start w:val="1"/>
      <w:numFmt w:val="decimal"/>
      <w:lvlText w:val="%1."/>
      <w:lvlJc w:val="left"/>
      <w:pPr>
        <w:ind w:left="1493"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2349" w:hanging="165"/>
      </w:pPr>
      <w:rPr>
        <w:rFonts w:hint="default"/>
        <w:lang w:val="en-US" w:eastAsia="zh-CN" w:bidi="ar-SA"/>
      </w:rPr>
    </w:lvl>
    <w:lvl w:ilvl="2" w:tentative="0">
      <w:start w:val="0"/>
      <w:numFmt w:val="bullet"/>
      <w:lvlText w:val="•"/>
      <w:lvlJc w:val="left"/>
      <w:pPr>
        <w:ind w:left="3198" w:hanging="165"/>
      </w:pPr>
      <w:rPr>
        <w:rFonts w:hint="default"/>
        <w:lang w:val="en-US" w:eastAsia="zh-CN" w:bidi="ar-SA"/>
      </w:rPr>
    </w:lvl>
    <w:lvl w:ilvl="3" w:tentative="0">
      <w:start w:val="0"/>
      <w:numFmt w:val="bullet"/>
      <w:lvlText w:val="•"/>
      <w:lvlJc w:val="left"/>
      <w:pPr>
        <w:ind w:left="4047" w:hanging="165"/>
      </w:pPr>
      <w:rPr>
        <w:rFonts w:hint="default"/>
        <w:lang w:val="en-US" w:eastAsia="zh-CN" w:bidi="ar-SA"/>
      </w:rPr>
    </w:lvl>
    <w:lvl w:ilvl="4" w:tentative="0">
      <w:start w:val="0"/>
      <w:numFmt w:val="bullet"/>
      <w:lvlText w:val="•"/>
      <w:lvlJc w:val="left"/>
      <w:pPr>
        <w:ind w:left="4896" w:hanging="165"/>
      </w:pPr>
      <w:rPr>
        <w:rFonts w:hint="default"/>
        <w:lang w:val="en-US" w:eastAsia="zh-CN" w:bidi="ar-SA"/>
      </w:rPr>
    </w:lvl>
    <w:lvl w:ilvl="5" w:tentative="0">
      <w:start w:val="0"/>
      <w:numFmt w:val="bullet"/>
      <w:lvlText w:val="•"/>
      <w:lvlJc w:val="left"/>
      <w:pPr>
        <w:ind w:left="5745" w:hanging="165"/>
      </w:pPr>
      <w:rPr>
        <w:rFonts w:hint="default"/>
        <w:lang w:val="en-US" w:eastAsia="zh-CN" w:bidi="ar-SA"/>
      </w:rPr>
    </w:lvl>
    <w:lvl w:ilvl="6" w:tentative="0">
      <w:start w:val="0"/>
      <w:numFmt w:val="bullet"/>
      <w:lvlText w:val="•"/>
      <w:lvlJc w:val="left"/>
      <w:pPr>
        <w:ind w:left="6594" w:hanging="165"/>
      </w:pPr>
      <w:rPr>
        <w:rFonts w:hint="default"/>
        <w:lang w:val="en-US" w:eastAsia="zh-CN" w:bidi="ar-SA"/>
      </w:rPr>
    </w:lvl>
    <w:lvl w:ilvl="7" w:tentative="0">
      <w:start w:val="0"/>
      <w:numFmt w:val="bullet"/>
      <w:lvlText w:val="•"/>
      <w:lvlJc w:val="left"/>
      <w:pPr>
        <w:ind w:left="7443" w:hanging="165"/>
      </w:pPr>
      <w:rPr>
        <w:rFonts w:hint="default"/>
        <w:lang w:val="en-US" w:eastAsia="zh-CN" w:bidi="ar-SA"/>
      </w:rPr>
    </w:lvl>
    <w:lvl w:ilvl="8" w:tentative="0">
      <w:start w:val="0"/>
      <w:numFmt w:val="bullet"/>
      <w:lvlText w:val="•"/>
      <w:lvlJc w:val="left"/>
      <w:pPr>
        <w:ind w:left="8292" w:hanging="165"/>
      </w:pPr>
      <w:rPr>
        <w:rFonts w:hint="default"/>
        <w:lang w:val="en-US" w:eastAsia="zh-CN" w:bidi="ar-SA"/>
      </w:rPr>
    </w:lvl>
  </w:abstractNum>
  <w:abstractNum w:abstractNumId="1">
    <w:nsid w:val="869341ED"/>
    <w:multiLevelType w:val="multilevel"/>
    <w:tmpl w:val="869341ED"/>
    <w:lvl w:ilvl="0" w:tentative="0">
      <w:start w:val="2"/>
      <w:numFmt w:val="decimal"/>
      <w:lvlText w:val="%1."/>
      <w:lvlJc w:val="left"/>
      <w:pPr>
        <w:ind w:left="1643" w:hanging="271"/>
        <w:jc w:val="left"/>
      </w:pPr>
      <w:rPr>
        <w:rFonts w:hint="default" w:ascii="Calibri" w:hAnsi="Calibri" w:eastAsia="Calibri" w:cs="Calibri"/>
        <w:b w:val="0"/>
        <w:bCs w:val="0"/>
        <w:i w:val="0"/>
        <w:iCs w:val="0"/>
        <w:spacing w:val="-2"/>
        <w:w w:val="100"/>
        <w:sz w:val="21"/>
        <w:szCs w:val="21"/>
        <w:lang w:val="en-US" w:eastAsia="zh-CN" w:bidi="ar-SA"/>
      </w:rPr>
    </w:lvl>
    <w:lvl w:ilvl="1" w:tentative="0">
      <w:start w:val="0"/>
      <w:numFmt w:val="bullet"/>
      <w:lvlText w:val="•"/>
      <w:lvlJc w:val="left"/>
      <w:pPr>
        <w:ind w:left="2475" w:hanging="271"/>
      </w:pPr>
      <w:rPr>
        <w:rFonts w:hint="default"/>
        <w:lang w:val="en-US" w:eastAsia="zh-CN" w:bidi="ar-SA"/>
      </w:rPr>
    </w:lvl>
    <w:lvl w:ilvl="2" w:tentative="0">
      <w:start w:val="0"/>
      <w:numFmt w:val="bullet"/>
      <w:lvlText w:val="•"/>
      <w:lvlJc w:val="left"/>
      <w:pPr>
        <w:ind w:left="3310" w:hanging="271"/>
      </w:pPr>
      <w:rPr>
        <w:rFonts w:hint="default"/>
        <w:lang w:val="en-US" w:eastAsia="zh-CN" w:bidi="ar-SA"/>
      </w:rPr>
    </w:lvl>
    <w:lvl w:ilvl="3" w:tentative="0">
      <w:start w:val="0"/>
      <w:numFmt w:val="bullet"/>
      <w:lvlText w:val="•"/>
      <w:lvlJc w:val="left"/>
      <w:pPr>
        <w:ind w:left="4145" w:hanging="271"/>
      </w:pPr>
      <w:rPr>
        <w:rFonts w:hint="default"/>
        <w:lang w:val="en-US" w:eastAsia="zh-CN" w:bidi="ar-SA"/>
      </w:rPr>
    </w:lvl>
    <w:lvl w:ilvl="4" w:tentative="0">
      <w:start w:val="0"/>
      <w:numFmt w:val="bullet"/>
      <w:lvlText w:val="•"/>
      <w:lvlJc w:val="left"/>
      <w:pPr>
        <w:ind w:left="4980" w:hanging="271"/>
      </w:pPr>
      <w:rPr>
        <w:rFonts w:hint="default"/>
        <w:lang w:val="en-US" w:eastAsia="zh-CN" w:bidi="ar-SA"/>
      </w:rPr>
    </w:lvl>
    <w:lvl w:ilvl="5" w:tentative="0">
      <w:start w:val="0"/>
      <w:numFmt w:val="bullet"/>
      <w:lvlText w:val="•"/>
      <w:lvlJc w:val="left"/>
      <w:pPr>
        <w:ind w:left="5815" w:hanging="271"/>
      </w:pPr>
      <w:rPr>
        <w:rFonts w:hint="default"/>
        <w:lang w:val="en-US" w:eastAsia="zh-CN" w:bidi="ar-SA"/>
      </w:rPr>
    </w:lvl>
    <w:lvl w:ilvl="6" w:tentative="0">
      <w:start w:val="0"/>
      <w:numFmt w:val="bullet"/>
      <w:lvlText w:val="•"/>
      <w:lvlJc w:val="left"/>
      <w:pPr>
        <w:ind w:left="6650" w:hanging="271"/>
      </w:pPr>
      <w:rPr>
        <w:rFonts w:hint="default"/>
        <w:lang w:val="en-US" w:eastAsia="zh-CN" w:bidi="ar-SA"/>
      </w:rPr>
    </w:lvl>
    <w:lvl w:ilvl="7" w:tentative="0">
      <w:start w:val="0"/>
      <w:numFmt w:val="bullet"/>
      <w:lvlText w:val="•"/>
      <w:lvlJc w:val="left"/>
      <w:pPr>
        <w:ind w:left="7485" w:hanging="271"/>
      </w:pPr>
      <w:rPr>
        <w:rFonts w:hint="default"/>
        <w:lang w:val="en-US" w:eastAsia="zh-CN" w:bidi="ar-SA"/>
      </w:rPr>
    </w:lvl>
    <w:lvl w:ilvl="8" w:tentative="0">
      <w:start w:val="0"/>
      <w:numFmt w:val="bullet"/>
      <w:lvlText w:val="•"/>
      <w:lvlJc w:val="left"/>
      <w:pPr>
        <w:ind w:left="8320" w:hanging="271"/>
      </w:pPr>
      <w:rPr>
        <w:rFonts w:hint="default"/>
        <w:lang w:val="en-US" w:eastAsia="zh-CN" w:bidi="ar-SA"/>
      </w:rPr>
    </w:lvl>
  </w:abstractNum>
  <w:abstractNum w:abstractNumId="2">
    <w:nsid w:val="9051C6AA"/>
    <w:multiLevelType w:val="multilevel"/>
    <w:tmpl w:val="9051C6AA"/>
    <w:lvl w:ilvl="0" w:tentative="0">
      <w:start w:val="4"/>
      <w:numFmt w:val="decimal"/>
      <w:lvlText w:val="(%1)"/>
      <w:lvlJc w:val="left"/>
      <w:pPr>
        <w:ind w:left="1452" w:hanging="230"/>
        <w:jc w:val="left"/>
      </w:pPr>
      <w:rPr>
        <w:rFonts w:hint="default" w:ascii="Calibri" w:hAnsi="Calibri" w:eastAsia="Calibri" w:cs="Calibri"/>
        <w:b w:val="0"/>
        <w:bCs w:val="0"/>
        <w:i w:val="0"/>
        <w:iCs w:val="0"/>
        <w:spacing w:val="-4"/>
        <w:w w:val="100"/>
        <w:sz w:val="19"/>
        <w:szCs w:val="19"/>
        <w:lang w:val="en-US" w:eastAsia="zh-CN" w:bidi="ar-SA"/>
      </w:rPr>
    </w:lvl>
    <w:lvl w:ilvl="1" w:tentative="0">
      <w:start w:val="0"/>
      <w:numFmt w:val="bullet"/>
      <w:lvlText w:val="•"/>
      <w:lvlJc w:val="left"/>
      <w:pPr>
        <w:ind w:left="2313" w:hanging="230"/>
      </w:pPr>
      <w:rPr>
        <w:rFonts w:hint="default"/>
        <w:lang w:val="en-US" w:eastAsia="zh-CN" w:bidi="ar-SA"/>
      </w:rPr>
    </w:lvl>
    <w:lvl w:ilvl="2" w:tentative="0">
      <w:start w:val="0"/>
      <w:numFmt w:val="bullet"/>
      <w:lvlText w:val="•"/>
      <w:lvlJc w:val="left"/>
      <w:pPr>
        <w:ind w:left="3166" w:hanging="230"/>
      </w:pPr>
      <w:rPr>
        <w:rFonts w:hint="default"/>
        <w:lang w:val="en-US" w:eastAsia="zh-CN" w:bidi="ar-SA"/>
      </w:rPr>
    </w:lvl>
    <w:lvl w:ilvl="3" w:tentative="0">
      <w:start w:val="0"/>
      <w:numFmt w:val="bullet"/>
      <w:lvlText w:val="•"/>
      <w:lvlJc w:val="left"/>
      <w:pPr>
        <w:ind w:left="4019" w:hanging="230"/>
      </w:pPr>
      <w:rPr>
        <w:rFonts w:hint="default"/>
        <w:lang w:val="en-US" w:eastAsia="zh-CN" w:bidi="ar-SA"/>
      </w:rPr>
    </w:lvl>
    <w:lvl w:ilvl="4" w:tentative="0">
      <w:start w:val="0"/>
      <w:numFmt w:val="bullet"/>
      <w:lvlText w:val="•"/>
      <w:lvlJc w:val="left"/>
      <w:pPr>
        <w:ind w:left="4872" w:hanging="230"/>
      </w:pPr>
      <w:rPr>
        <w:rFonts w:hint="default"/>
        <w:lang w:val="en-US" w:eastAsia="zh-CN" w:bidi="ar-SA"/>
      </w:rPr>
    </w:lvl>
    <w:lvl w:ilvl="5" w:tentative="0">
      <w:start w:val="0"/>
      <w:numFmt w:val="bullet"/>
      <w:lvlText w:val="•"/>
      <w:lvlJc w:val="left"/>
      <w:pPr>
        <w:ind w:left="5725" w:hanging="230"/>
      </w:pPr>
      <w:rPr>
        <w:rFonts w:hint="default"/>
        <w:lang w:val="en-US" w:eastAsia="zh-CN" w:bidi="ar-SA"/>
      </w:rPr>
    </w:lvl>
    <w:lvl w:ilvl="6" w:tentative="0">
      <w:start w:val="0"/>
      <w:numFmt w:val="bullet"/>
      <w:lvlText w:val="•"/>
      <w:lvlJc w:val="left"/>
      <w:pPr>
        <w:ind w:left="6578" w:hanging="230"/>
      </w:pPr>
      <w:rPr>
        <w:rFonts w:hint="default"/>
        <w:lang w:val="en-US" w:eastAsia="zh-CN" w:bidi="ar-SA"/>
      </w:rPr>
    </w:lvl>
    <w:lvl w:ilvl="7" w:tentative="0">
      <w:start w:val="0"/>
      <w:numFmt w:val="bullet"/>
      <w:lvlText w:val="•"/>
      <w:lvlJc w:val="left"/>
      <w:pPr>
        <w:ind w:left="7431" w:hanging="230"/>
      </w:pPr>
      <w:rPr>
        <w:rFonts w:hint="default"/>
        <w:lang w:val="en-US" w:eastAsia="zh-CN" w:bidi="ar-SA"/>
      </w:rPr>
    </w:lvl>
    <w:lvl w:ilvl="8" w:tentative="0">
      <w:start w:val="0"/>
      <w:numFmt w:val="bullet"/>
      <w:lvlText w:val="•"/>
      <w:lvlJc w:val="left"/>
      <w:pPr>
        <w:ind w:left="8284" w:hanging="230"/>
      </w:pPr>
      <w:rPr>
        <w:rFonts w:hint="default"/>
        <w:lang w:val="en-US" w:eastAsia="zh-CN" w:bidi="ar-SA"/>
      </w:rPr>
    </w:lvl>
  </w:abstractNum>
  <w:abstractNum w:abstractNumId="3">
    <w:nsid w:val="90A23C85"/>
    <w:multiLevelType w:val="multilevel"/>
    <w:tmpl w:val="90A23C85"/>
    <w:lvl w:ilvl="0" w:tentative="0">
      <w:start w:val="2"/>
      <w:numFmt w:val="decimal"/>
      <w:lvlText w:val="%1."/>
      <w:lvlJc w:val="left"/>
      <w:pPr>
        <w:ind w:left="324" w:hanging="211"/>
        <w:jc w:val="left"/>
      </w:pPr>
      <w:rPr>
        <w:rFonts w:hint="default" w:ascii="宋体" w:hAnsi="宋体" w:eastAsia="宋体" w:cs="宋体"/>
        <w:b w:val="0"/>
        <w:bCs w:val="0"/>
        <w:i w:val="0"/>
        <w:iCs w:val="0"/>
        <w:spacing w:val="0"/>
        <w:w w:val="99"/>
        <w:sz w:val="19"/>
        <w:szCs w:val="19"/>
        <w:lang w:val="en-US" w:eastAsia="zh-CN" w:bidi="ar-SA"/>
      </w:rPr>
    </w:lvl>
    <w:lvl w:ilvl="1" w:tentative="0">
      <w:start w:val="0"/>
      <w:numFmt w:val="bullet"/>
      <w:lvlText w:val="•"/>
      <w:lvlJc w:val="left"/>
      <w:pPr>
        <w:ind w:left="740" w:hanging="211"/>
      </w:pPr>
      <w:rPr>
        <w:rFonts w:hint="default"/>
        <w:lang w:val="en-US" w:eastAsia="zh-CN" w:bidi="ar-SA"/>
      </w:rPr>
    </w:lvl>
    <w:lvl w:ilvl="2" w:tentative="0">
      <w:start w:val="0"/>
      <w:numFmt w:val="bullet"/>
      <w:lvlText w:val="•"/>
      <w:lvlJc w:val="left"/>
      <w:pPr>
        <w:ind w:left="1160" w:hanging="211"/>
      </w:pPr>
      <w:rPr>
        <w:rFonts w:hint="default"/>
        <w:lang w:val="en-US" w:eastAsia="zh-CN" w:bidi="ar-SA"/>
      </w:rPr>
    </w:lvl>
    <w:lvl w:ilvl="3" w:tentative="0">
      <w:start w:val="0"/>
      <w:numFmt w:val="bullet"/>
      <w:lvlText w:val="•"/>
      <w:lvlJc w:val="left"/>
      <w:pPr>
        <w:ind w:left="1580" w:hanging="211"/>
      </w:pPr>
      <w:rPr>
        <w:rFonts w:hint="default"/>
        <w:lang w:val="en-US" w:eastAsia="zh-CN" w:bidi="ar-SA"/>
      </w:rPr>
    </w:lvl>
    <w:lvl w:ilvl="4" w:tentative="0">
      <w:start w:val="0"/>
      <w:numFmt w:val="bullet"/>
      <w:lvlText w:val="•"/>
      <w:lvlJc w:val="left"/>
      <w:pPr>
        <w:ind w:left="2000" w:hanging="211"/>
      </w:pPr>
      <w:rPr>
        <w:rFonts w:hint="default"/>
        <w:lang w:val="en-US" w:eastAsia="zh-CN" w:bidi="ar-SA"/>
      </w:rPr>
    </w:lvl>
    <w:lvl w:ilvl="5" w:tentative="0">
      <w:start w:val="0"/>
      <w:numFmt w:val="bullet"/>
      <w:lvlText w:val="•"/>
      <w:lvlJc w:val="left"/>
      <w:pPr>
        <w:ind w:left="2420" w:hanging="211"/>
      </w:pPr>
      <w:rPr>
        <w:rFonts w:hint="default"/>
        <w:lang w:val="en-US" w:eastAsia="zh-CN" w:bidi="ar-SA"/>
      </w:rPr>
    </w:lvl>
    <w:lvl w:ilvl="6" w:tentative="0">
      <w:start w:val="0"/>
      <w:numFmt w:val="bullet"/>
      <w:lvlText w:val="•"/>
      <w:lvlJc w:val="left"/>
      <w:pPr>
        <w:ind w:left="2840" w:hanging="211"/>
      </w:pPr>
      <w:rPr>
        <w:rFonts w:hint="default"/>
        <w:lang w:val="en-US" w:eastAsia="zh-CN" w:bidi="ar-SA"/>
      </w:rPr>
    </w:lvl>
    <w:lvl w:ilvl="7" w:tentative="0">
      <w:start w:val="0"/>
      <w:numFmt w:val="bullet"/>
      <w:lvlText w:val="•"/>
      <w:lvlJc w:val="left"/>
      <w:pPr>
        <w:ind w:left="3260" w:hanging="211"/>
      </w:pPr>
      <w:rPr>
        <w:rFonts w:hint="default"/>
        <w:lang w:val="en-US" w:eastAsia="zh-CN" w:bidi="ar-SA"/>
      </w:rPr>
    </w:lvl>
    <w:lvl w:ilvl="8" w:tentative="0">
      <w:start w:val="0"/>
      <w:numFmt w:val="bullet"/>
      <w:lvlText w:val="•"/>
      <w:lvlJc w:val="left"/>
      <w:pPr>
        <w:ind w:left="3680" w:hanging="211"/>
      </w:pPr>
      <w:rPr>
        <w:rFonts w:hint="default"/>
        <w:lang w:val="en-US" w:eastAsia="zh-CN" w:bidi="ar-SA"/>
      </w:rPr>
    </w:lvl>
  </w:abstractNum>
  <w:abstractNum w:abstractNumId="4">
    <w:nsid w:val="A5DEC27E"/>
    <w:multiLevelType w:val="multilevel"/>
    <w:tmpl w:val="A5DEC27E"/>
    <w:lvl w:ilvl="0" w:tentative="0">
      <w:start w:val="1"/>
      <w:numFmt w:val="decimal"/>
      <w:lvlText w:val="%1."/>
      <w:lvlJc w:val="left"/>
      <w:pPr>
        <w:ind w:left="1387"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2241" w:hanging="165"/>
      </w:pPr>
      <w:rPr>
        <w:rFonts w:hint="default"/>
        <w:lang w:val="en-US" w:eastAsia="zh-CN" w:bidi="ar-SA"/>
      </w:rPr>
    </w:lvl>
    <w:lvl w:ilvl="2" w:tentative="0">
      <w:start w:val="0"/>
      <w:numFmt w:val="bullet"/>
      <w:lvlText w:val="•"/>
      <w:lvlJc w:val="left"/>
      <w:pPr>
        <w:ind w:left="3102" w:hanging="165"/>
      </w:pPr>
      <w:rPr>
        <w:rFonts w:hint="default"/>
        <w:lang w:val="en-US" w:eastAsia="zh-CN" w:bidi="ar-SA"/>
      </w:rPr>
    </w:lvl>
    <w:lvl w:ilvl="3" w:tentative="0">
      <w:start w:val="0"/>
      <w:numFmt w:val="bullet"/>
      <w:lvlText w:val="•"/>
      <w:lvlJc w:val="left"/>
      <w:pPr>
        <w:ind w:left="3963" w:hanging="165"/>
      </w:pPr>
      <w:rPr>
        <w:rFonts w:hint="default"/>
        <w:lang w:val="en-US" w:eastAsia="zh-CN" w:bidi="ar-SA"/>
      </w:rPr>
    </w:lvl>
    <w:lvl w:ilvl="4" w:tentative="0">
      <w:start w:val="0"/>
      <w:numFmt w:val="bullet"/>
      <w:lvlText w:val="•"/>
      <w:lvlJc w:val="left"/>
      <w:pPr>
        <w:ind w:left="4824" w:hanging="165"/>
      </w:pPr>
      <w:rPr>
        <w:rFonts w:hint="default"/>
        <w:lang w:val="en-US" w:eastAsia="zh-CN" w:bidi="ar-SA"/>
      </w:rPr>
    </w:lvl>
    <w:lvl w:ilvl="5" w:tentative="0">
      <w:start w:val="0"/>
      <w:numFmt w:val="bullet"/>
      <w:lvlText w:val="•"/>
      <w:lvlJc w:val="left"/>
      <w:pPr>
        <w:ind w:left="5685" w:hanging="165"/>
      </w:pPr>
      <w:rPr>
        <w:rFonts w:hint="default"/>
        <w:lang w:val="en-US" w:eastAsia="zh-CN" w:bidi="ar-SA"/>
      </w:rPr>
    </w:lvl>
    <w:lvl w:ilvl="6" w:tentative="0">
      <w:start w:val="0"/>
      <w:numFmt w:val="bullet"/>
      <w:lvlText w:val="•"/>
      <w:lvlJc w:val="left"/>
      <w:pPr>
        <w:ind w:left="6546" w:hanging="165"/>
      </w:pPr>
      <w:rPr>
        <w:rFonts w:hint="default"/>
        <w:lang w:val="en-US" w:eastAsia="zh-CN" w:bidi="ar-SA"/>
      </w:rPr>
    </w:lvl>
    <w:lvl w:ilvl="7" w:tentative="0">
      <w:start w:val="0"/>
      <w:numFmt w:val="bullet"/>
      <w:lvlText w:val="•"/>
      <w:lvlJc w:val="left"/>
      <w:pPr>
        <w:ind w:left="7407" w:hanging="165"/>
      </w:pPr>
      <w:rPr>
        <w:rFonts w:hint="default"/>
        <w:lang w:val="en-US" w:eastAsia="zh-CN" w:bidi="ar-SA"/>
      </w:rPr>
    </w:lvl>
    <w:lvl w:ilvl="8" w:tentative="0">
      <w:start w:val="0"/>
      <w:numFmt w:val="bullet"/>
      <w:lvlText w:val="•"/>
      <w:lvlJc w:val="left"/>
      <w:pPr>
        <w:ind w:left="8268" w:hanging="165"/>
      </w:pPr>
      <w:rPr>
        <w:rFonts w:hint="default"/>
        <w:lang w:val="en-US" w:eastAsia="zh-CN" w:bidi="ar-SA"/>
      </w:rPr>
    </w:lvl>
  </w:abstractNum>
  <w:abstractNum w:abstractNumId="5">
    <w:nsid w:val="AB0B036F"/>
    <w:multiLevelType w:val="multilevel"/>
    <w:tmpl w:val="AB0B036F"/>
    <w:lvl w:ilvl="0" w:tentative="0">
      <w:start w:val="1"/>
      <w:numFmt w:val="decimal"/>
      <w:lvlText w:val="（%1）"/>
      <w:lvlJc w:val="left"/>
      <w:pPr>
        <w:ind w:left="1809" w:hanging="527"/>
        <w:jc w:val="left"/>
      </w:pPr>
      <w:rPr>
        <w:rFonts w:hint="default" w:ascii="宋体" w:hAnsi="宋体" w:eastAsia="宋体" w:cs="宋体"/>
        <w:b w:val="0"/>
        <w:bCs w:val="0"/>
        <w:i w:val="0"/>
        <w:iCs w:val="0"/>
        <w:spacing w:val="-1"/>
        <w:w w:val="100"/>
        <w:sz w:val="19"/>
        <w:szCs w:val="19"/>
        <w:lang w:val="en-US" w:eastAsia="zh-CN" w:bidi="ar-SA"/>
      </w:rPr>
    </w:lvl>
    <w:lvl w:ilvl="1" w:tentative="0">
      <w:start w:val="0"/>
      <w:numFmt w:val="bullet"/>
      <w:lvlText w:val="•"/>
      <w:lvlJc w:val="left"/>
      <w:pPr>
        <w:ind w:left="2619" w:hanging="527"/>
      </w:pPr>
      <w:rPr>
        <w:rFonts w:hint="default"/>
        <w:lang w:val="en-US" w:eastAsia="zh-CN" w:bidi="ar-SA"/>
      </w:rPr>
    </w:lvl>
    <w:lvl w:ilvl="2" w:tentative="0">
      <w:start w:val="0"/>
      <w:numFmt w:val="bullet"/>
      <w:lvlText w:val="•"/>
      <w:lvlJc w:val="left"/>
      <w:pPr>
        <w:ind w:left="3438" w:hanging="527"/>
      </w:pPr>
      <w:rPr>
        <w:rFonts w:hint="default"/>
        <w:lang w:val="en-US" w:eastAsia="zh-CN" w:bidi="ar-SA"/>
      </w:rPr>
    </w:lvl>
    <w:lvl w:ilvl="3" w:tentative="0">
      <w:start w:val="0"/>
      <w:numFmt w:val="bullet"/>
      <w:lvlText w:val="•"/>
      <w:lvlJc w:val="left"/>
      <w:pPr>
        <w:ind w:left="4257" w:hanging="527"/>
      </w:pPr>
      <w:rPr>
        <w:rFonts w:hint="default"/>
        <w:lang w:val="en-US" w:eastAsia="zh-CN" w:bidi="ar-SA"/>
      </w:rPr>
    </w:lvl>
    <w:lvl w:ilvl="4" w:tentative="0">
      <w:start w:val="0"/>
      <w:numFmt w:val="bullet"/>
      <w:lvlText w:val="•"/>
      <w:lvlJc w:val="left"/>
      <w:pPr>
        <w:ind w:left="5076" w:hanging="527"/>
      </w:pPr>
      <w:rPr>
        <w:rFonts w:hint="default"/>
        <w:lang w:val="en-US" w:eastAsia="zh-CN" w:bidi="ar-SA"/>
      </w:rPr>
    </w:lvl>
    <w:lvl w:ilvl="5" w:tentative="0">
      <w:start w:val="0"/>
      <w:numFmt w:val="bullet"/>
      <w:lvlText w:val="•"/>
      <w:lvlJc w:val="left"/>
      <w:pPr>
        <w:ind w:left="5895" w:hanging="527"/>
      </w:pPr>
      <w:rPr>
        <w:rFonts w:hint="default"/>
        <w:lang w:val="en-US" w:eastAsia="zh-CN" w:bidi="ar-SA"/>
      </w:rPr>
    </w:lvl>
    <w:lvl w:ilvl="6" w:tentative="0">
      <w:start w:val="0"/>
      <w:numFmt w:val="bullet"/>
      <w:lvlText w:val="•"/>
      <w:lvlJc w:val="left"/>
      <w:pPr>
        <w:ind w:left="6714" w:hanging="527"/>
      </w:pPr>
      <w:rPr>
        <w:rFonts w:hint="default"/>
        <w:lang w:val="en-US" w:eastAsia="zh-CN" w:bidi="ar-SA"/>
      </w:rPr>
    </w:lvl>
    <w:lvl w:ilvl="7" w:tentative="0">
      <w:start w:val="0"/>
      <w:numFmt w:val="bullet"/>
      <w:lvlText w:val="•"/>
      <w:lvlJc w:val="left"/>
      <w:pPr>
        <w:ind w:left="7533" w:hanging="527"/>
      </w:pPr>
      <w:rPr>
        <w:rFonts w:hint="default"/>
        <w:lang w:val="en-US" w:eastAsia="zh-CN" w:bidi="ar-SA"/>
      </w:rPr>
    </w:lvl>
    <w:lvl w:ilvl="8" w:tentative="0">
      <w:start w:val="0"/>
      <w:numFmt w:val="bullet"/>
      <w:lvlText w:val="•"/>
      <w:lvlJc w:val="left"/>
      <w:pPr>
        <w:ind w:left="8352" w:hanging="527"/>
      </w:pPr>
      <w:rPr>
        <w:rFonts w:hint="default"/>
        <w:lang w:val="en-US" w:eastAsia="zh-CN" w:bidi="ar-SA"/>
      </w:rPr>
    </w:lvl>
  </w:abstractNum>
  <w:abstractNum w:abstractNumId="6">
    <w:nsid w:val="ACEAAFFB"/>
    <w:multiLevelType w:val="singleLevel"/>
    <w:tmpl w:val="ACEAAFFB"/>
    <w:lvl w:ilvl="0" w:tentative="0">
      <w:start w:val="2"/>
      <w:numFmt w:val="chineseCounting"/>
      <w:suff w:val="nothing"/>
      <w:lvlText w:val="%1、"/>
      <w:lvlJc w:val="left"/>
      <w:rPr>
        <w:rFonts w:hint="eastAsia"/>
      </w:rPr>
    </w:lvl>
  </w:abstractNum>
  <w:abstractNum w:abstractNumId="7">
    <w:nsid w:val="BA18AF4C"/>
    <w:multiLevelType w:val="multilevel"/>
    <w:tmpl w:val="BA18AF4C"/>
    <w:lvl w:ilvl="0" w:tentative="0">
      <w:start w:val="1"/>
      <w:numFmt w:val="decimal"/>
      <w:lvlText w:val="（%1）"/>
      <w:lvlJc w:val="left"/>
      <w:pPr>
        <w:ind w:left="174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565" w:hanging="526"/>
      </w:pPr>
      <w:rPr>
        <w:rFonts w:hint="default"/>
        <w:lang w:val="en-US" w:eastAsia="zh-CN" w:bidi="ar-SA"/>
      </w:rPr>
    </w:lvl>
    <w:lvl w:ilvl="2" w:tentative="0">
      <w:start w:val="0"/>
      <w:numFmt w:val="bullet"/>
      <w:lvlText w:val="•"/>
      <w:lvlJc w:val="left"/>
      <w:pPr>
        <w:ind w:left="3390" w:hanging="526"/>
      </w:pPr>
      <w:rPr>
        <w:rFonts w:hint="default"/>
        <w:lang w:val="en-US" w:eastAsia="zh-CN" w:bidi="ar-SA"/>
      </w:rPr>
    </w:lvl>
    <w:lvl w:ilvl="3" w:tentative="0">
      <w:start w:val="0"/>
      <w:numFmt w:val="bullet"/>
      <w:lvlText w:val="•"/>
      <w:lvlJc w:val="left"/>
      <w:pPr>
        <w:ind w:left="4215" w:hanging="526"/>
      </w:pPr>
      <w:rPr>
        <w:rFonts w:hint="default"/>
        <w:lang w:val="en-US" w:eastAsia="zh-CN" w:bidi="ar-SA"/>
      </w:rPr>
    </w:lvl>
    <w:lvl w:ilvl="4" w:tentative="0">
      <w:start w:val="0"/>
      <w:numFmt w:val="bullet"/>
      <w:lvlText w:val="•"/>
      <w:lvlJc w:val="left"/>
      <w:pPr>
        <w:ind w:left="5040" w:hanging="526"/>
      </w:pPr>
      <w:rPr>
        <w:rFonts w:hint="default"/>
        <w:lang w:val="en-US" w:eastAsia="zh-CN" w:bidi="ar-SA"/>
      </w:rPr>
    </w:lvl>
    <w:lvl w:ilvl="5" w:tentative="0">
      <w:start w:val="0"/>
      <w:numFmt w:val="bullet"/>
      <w:lvlText w:val="•"/>
      <w:lvlJc w:val="left"/>
      <w:pPr>
        <w:ind w:left="5865" w:hanging="526"/>
      </w:pPr>
      <w:rPr>
        <w:rFonts w:hint="default"/>
        <w:lang w:val="en-US" w:eastAsia="zh-CN" w:bidi="ar-SA"/>
      </w:rPr>
    </w:lvl>
    <w:lvl w:ilvl="6" w:tentative="0">
      <w:start w:val="0"/>
      <w:numFmt w:val="bullet"/>
      <w:lvlText w:val="•"/>
      <w:lvlJc w:val="left"/>
      <w:pPr>
        <w:ind w:left="6690" w:hanging="526"/>
      </w:pPr>
      <w:rPr>
        <w:rFonts w:hint="default"/>
        <w:lang w:val="en-US" w:eastAsia="zh-CN" w:bidi="ar-SA"/>
      </w:rPr>
    </w:lvl>
    <w:lvl w:ilvl="7" w:tentative="0">
      <w:start w:val="0"/>
      <w:numFmt w:val="bullet"/>
      <w:lvlText w:val="•"/>
      <w:lvlJc w:val="left"/>
      <w:pPr>
        <w:ind w:left="7515" w:hanging="526"/>
      </w:pPr>
      <w:rPr>
        <w:rFonts w:hint="default"/>
        <w:lang w:val="en-US" w:eastAsia="zh-CN" w:bidi="ar-SA"/>
      </w:rPr>
    </w:lvl>
    <w:lvl w:ilvl="8" w:tentative="0">
      <w:start w:val="0"/>
      <w:numFmt w:val="bullet"/>
      <w:lvlText w:val="•"/>
      <w:lvlJc w:val="left"/>
      <w:pPr>
        <w:ind w:left="8340" w:hanging="526"/>
      </w:pPr>
      <w:rPr>
        <w:rFonts w:hint="default"/>
        <w:lang w:val="en-US" w:eastAsia="zh-CN" w:bidi="ar-SA"/>
      </w:rPr>
    </w:lvl>
  </w:abstractNum>
  <w:abstractNum w:abstractNumId="8">
    <w:nsid w:val="BD8566C4"/>
    <w:multiLevelType w:val="multilevel"/>
    <w:tmpl w:val="BD8566C4"/>
    <w:lvl w:ilvl="0" w:tentative="0">
      <w:start w:val="1"/>
      <w:numFmt w:val="decimal"/>
      <w:lvlText w:val="（%1）"/>
      <w:lvlJc w:val="left"/>
      <w:pPr>
        <w:ind w:left="802"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719" w:hanging="526"/>
      </w:pPr>
      <w:rPr>
        <w:rFonts w:hint="default"/>
        <w:lang w:val="en-US" w:eastAsia="zh-CN" w:bidi="ar-SA"/>
      </w:rPr>
    </w:lvl>
    <w:lvl w:ilvl="2" w:tentative="0">
      <w:start w:val="0"/>
      <w:numFmt w:val="bullet"/>
      <w:lvlText w:val="•"/>
      <w:lvlJc w:val="left"/>
      <w:pPr>
        <w:ind w:left="2638" w:hanging="526"/>
      </w:pPr>
      <w:rPr>
        <w:rFonts w:hint="default"/>
        <w:lang w:val="en-US" w:eastAsia="zh-CN" w:bidi="ar-SA"/>
      </w:rPr>
    </w:lvl>
    <w:lvl w:ilvl="3" w:tentative="0">
      <w:start w:val="0"/>
      <w:numFmt w:val="bullet"/>
      <w:lvlText w:val="•"/>
      <w:lvlJc w:val="left"/>
      <w:pPr>
        <w:ind w:left="3557" w:hanging="526"/>
      </w:pPr>
      <w:rPr>
        <w:rFonts w:hint="default"/>
        <w:lang w:val="en-US" w:eastAsia="zh-CN" w:bidi="ar-SA"/>
      </w:rPr>
    </w:lvl>
    <w:lvl w:ilvl="4" w:tentative="0">
      <w:start w:val="0"/>
      <w:numFmt w:val="bullet"/>
      <w:lvlText w:val="•"/>
      <w:lvlJc w:val="left"/>
      <w:pPr>
        <w:ind w:left="4476" w:hanging="526"/>
      </w:pPr>
      <w:rPr>
        <w:rFonts w:hint="default"/>
        <w:lang w:val="en-US" w:eastAsia="zh-CN" w:bidi="ar-SA"/>
      </w:rPr>
    </w:lvl>
    <w:lvl w:ilvl="5" w:tentative="0">
      <w:start w:val="0"/>
      <w:numFmt w:val="bullet"/>
      <w:lvlText w:val="•"/>
      <w:lvlJc w:val="left"/>
      <w:pPr>
        <w:ind w:left="5395" w:hanging="526"/>
      </w:pPr>
      <w:rPr>
        <w:rFonts w:hint="default"/>
        <w:lang w:val="en-US" w:eastAsia="zh-CN" w:bidi="ar-SA"/>
      </w:rPr>
    </w:lvl>
    <w:lvl w:ilvl="6" w:tentative="0">
      <w:start w:val="0"/>
      <w:numFmt w:val="bullet"/>
      <w:lvlText w:val="•"/>
      <w:lvlJc w:val="left"/>
      <w:pPr>
        <w:ind w:left="6314" w:hanging="526"/>
      </w:pPr>
      <w:rPr>
        <w:rFonts w:hint="default"/>
        <w:lang w:val="en-US" w:eastAsia="zh-CN" w:bidi="ar-SA"/>
      </w:rPr>
    </w:lvl>
    <w:lvl w:ilvl="7" w:tentative="0">
      <w:start w:val="0"/>
      <w:numFmt w:val="bullet"/>
      <w:lvlText w:val="•"/>
      <w:lvlJc w:val="left"/>
      <w:pPr>
        <w:ind w:left="7233" w:hanging="526"/>
      </w:pPr>
      <w:rPr>
        <w:rFonts w:hint="default"/>
        <w:lang w:val="en-US" w:eastAsia="zh-CN" w:bidi="ar-SA"/>
      </w:rPr>
    </w:lvl>
    <w:lvl w:ilvl="8" w:tentative="0">
      <w:start w:val="0"/>
      <w:numFmt w:val="bullet"/>
      <w:lvlText w:val="•"/>
      <w:lvlJc w:val="left"/>
      <w:pPr>
        <w:ind w:left="8152" w:hanging="526"/>
      </w:pPr>
      <w:rPr>
        <w:rFonts w:hint="default"/>
        <w:lang w:val="en-US" w:eastAsia="zh-CN" w:bidi="ar-SA"/>
      </w:rPr>
    </w:lvl>
  </w:abstractNum>
  <w:abstractNum w:abstractNumId="9">
    <w:nsid w:val="DF76E5D2"/>
    <w:multiLevelType w:val="multilevel"/>
    <w:tmpl w:val="DF76E5D2"/>
    <w:lvl w:ilvl="0" w:tentative="0">
      <w:start w:val="1"/>
      <w:numFmt w:val="decimal"/>
      <w:lvlText w:val="%1."/>
      <w:lvlJc w:val="left"/>
      <w:pPr>
        <w:ind w:left="1387"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2241" w:hanging="165"/>
      </w:pPr>
      <w:rPr>
        <w:rFonts w:hint="default"/>
        <w:lang w:val="en-US" w:eastAsia="zh-CN" w:bidi="ar-SA"/>
      </w:rPr>
    </w:lvl>
    <w:lvl w:ilvl="2" w:tentative="0">
      <w:start w:val="0"/>
      <w:numFmt w:val="bullet"/>
      <w:lvlText w:val="•"/>
      <w:lvlJc w:val="left"/>
      <w:pPr>
        <w:ind w:left="3102" w:hanging="165"/>
      </w:pPr>
      <w:rPr>
        <w:rFonts w:hint="default"/>
        <w:lang w:val="en-US" w:eastAsia="zh-CN" w:bidi="ar-SA"/>
      </w:rPr>
    </w:lvl>
    <w:lvl w:ilvl="3" w:tentative="0">
      <w:start w:val="0"/>
      <w:numFmt w:val="bullet"/>
      <w:lvlText w:val="•"/>
      <w:lvlJc w:val="left"/>
      <w:pPr>
        <w:ind w:left="3963" w:hanging="165"/>
      </w:pPr>
      <w:rPr>
        <w:rFonts w:hint="default"/>
        <w:lang w:val="en-US" w:eastAsia="zh-CN" w:bidi="ar-SA"/>
      </w:rPr>
    </w:lvl>
    <w:lvl w:ilvl="4" w:tentative="0">
      <w:start w:val="0"/>
      <w:numFmt w:val="bullet"/>
      <w:lvlText w:val="•"/>
      <w:lvlJc w:val="left"/>
      <w:pPr>
        <w:ind w:left="4824" w:hanging="165"/>
      </w:pPr>
      <w:rPr>
        <w:rFonts w:hint="default"/>
        <w:lang w:val="en-US" w:eastAsia="zh-CN" w:bidi="ar-SA"/>
      </w:rPr>
    </w:lvl>
    <w:lvl w:ilvl="5" w:tentative="0">
      <w:start w:val="0"/>
      <w:numFmt w:val="bullet"/>
      <w:lvlText w:val="•"/>
      <w:lvlJc w:val="left"/>
      <w:pPr>
        <w:ind w:left="5685" w:hanging="165"/>
      </w:pPr>
      <w:rPr>
        <w:rFonts w:hint="default"/>
        <w:lang w:val="en-US" w:eastAsia="zh-CN" w:bidi="ar-SA"/>
      </w:rPr>
    </w:lvl>
    <w:lvl w:ilvl="6" w:tentative="0">
      <w:start w:val="0"/>
      <w:numFmt w:val="bullet"/>
      <w:lvlText w:val="•"/>
      <w:lvlJc w:val="left"/>
      <w:pPr>
        <w:ind w:left="6546" w:hanging="165"/>
      </w:pPr>
      <w:rPr>
        <w:rFonts w:hint="default"/>
        <w:lang w:val="en-US" w:eastAsia="zh-CN" w:bidi="ar-SA"/>
      </w:rPr>
    </w:lvl>
    <w:lvl w:ilvl="7" w:tentative="0">
      <w:start w:val="0"/>
      <w:numFmt w:val="bullet"/>
      <w:lvlText w:val="•"/>
      <w:lvlJc w:val="left"/>
      <w:pPr>
        <w:ind w:left="7407" w:hanging="165"/>
      </w:pPr>
      <w:rPr>
        <w:rFonts w:hint="default"/>
        <w:lang w:val="en-US" w:eastAsia="zh-CN" w:bidi="ar-SA"/>
      </w:rPr>
    </w:lvl>
    <w:lvl w:ilvl="8" w:tentative="0">
      <w:start w:val="0"/>
      <w:numFmt w:val="bullet"/>
      <w:lvlText w:val="•"/>
      <w:lvlJc w:val="left"/>
      <w:pPr>
        <w:ind w:left="8268" w:hanging="165"/>
      </w:pPr>
      <w:rPr>
        <w:rFonts w:hint="default"/>
        <w:lang w:val="en-US" w:eastAsia="zh-CN" w:bidi="ar-SA"/>
      </w:rPr>
    </w:lvl>
  </w:abstractNum>
  <w:abstractNum w:abstractNumId="10">
    <w:nsid w:val="E559653C"/>
    <w:multiLevelType w:val="multilevel"/>
    <w:tmpl w:val="E559653C"/>
    <w:lvl w:ilvl="0" w:tentative="0">
      <w:start w:val="1"/>
      <w:numFmt w:val="decimal"/>
      <w:lvlText w:val="（%1）"/>
      <w:lvlJc w:val="left"/>
      <w:pPr>
        <w:ind w:left="1749" w:hanging="526"/>
        <w:jc w:val="left"/>
      </w:pPr>
      <w:rPr>
        <w:rFonts w:hint="default" w:ascii="宋体" w:hAnsi="宋体" w:eastAsia="宋体" w:cs="宋体"/>
        <w:b w:val="0"/>
        <w:bCs w:val="0"/>
        <w:i w:val="0"/>
        <w:iCs w:val="0"/>
        <w:spacing w:val="-31"/>
        <w:w w:val="100"/>
        <w:sz w:val="19"/>
        <w:szCs w:val="19"/>
        <w:lang w:val="en-US" w:eastAsia="zh-CN" w:bidi="ar-SA"/>
      </w:rPr>
    </w:lvl>
    <w:lvl w:ilvl="1" w:tentative="0">
      <w:start w:val="0"/>
      <w:numFmt w:val="bullet"/>
      <w:lvlText w:val="•"/>
      <w:lvlJc w:val="left"/>
      <w:pPr>
        <w:ind w:left="2565" w:hanging="526"/>
      </w:pPr>
      <w:rPr>
        <w:rFonts w:hint="default"/>
        <w:lang w:val="en-US" w:eastAsia="zh-CN" w:bidi="ar-SA"/>
      </w:rPr>
    </w:lvl>
    <w:lvl w:ilvl="2" w:tentative="0">
      <w:start w:val="0"/>
      <w:numFmt w:val="bullet"/>
      <w:lvlText w:val="•"/>
      <w:lvlJc w:val="left"/>
      <w:pPr>
        <w:ind w:left="3390" w:hanging="526"/>
      </w:pPr>
      <w:rPr>
        <w:rFonts w:hint="default"/>
        <w:lang w:val="en-US" w:eastAsia="zh-CN" w:bidi="ar-SA"/>
      </w:rPr>
    </w:lvl>
    <w:lvl w:ilvl="3" w:tentative="0">
      <w:start w:val="0"/>
      <w:numFmt w:val="bullet"/>
      <w:lvlText w:val="•"/>
      <w:lvlJc w:val="left"/>
      <w:pPr>
        <w:ind w:left="4215" w:hanging="526"/>
      </w:pPr>
      <w:rPr>
        <w:rFonts w:hint="default"/>
        <w:lang w:val="en-US" w:eastAsia="zh-CN" w:bidi="ar-SA"/>
      </w:rPr>
    </w:lvl>
    <w:lvl w:ilvl="4" w:tentative="0">
      <w:start w:val="0"/>
      <w:numFmt w:val="bullet"/>
      <w:lvlText w:val="•"/>
      <w:lvlJc w:val="left"/>
      <w:pPr>
        <w:ind w:left="5040" w:hanging="526"/>
      </w:pPr>
      <w:rPr>
        <w:rFonts w:hint="default"/>
        <w:lang w:val="en-US" w:eastAsia="zh-CN" w:bidi="ar-SA"/>
      </w:rPr>
    </w:lvl>
    <w:lvl w:ilvl="5" w:tentative="0">
      <w:start w:val="0"/>
      <w:numFmt w:val="bullet"/>
      <w:lvlText w:val="•"/>
      <w:lvlJc w:val="left"/>
      <w:pPr>
        <w:ind w:left="5865" w:hanging="526"/>
      </w:pPr>
      <w:rPr>
        <w:rFonts w:hint="default"/>
        <w:lang w:val="en-US" w:eastAsia="zh-CN" w:bidi="ar-SA"/>
      </w:rPr>
    </w:lvl>
    <w:lvl w:ilvl="6" w:tentative="0">
      <w:start w:val="0"/>
      <w:numFmt w:val="bullet"/>
      <w:lvlText w:val="•"/>
      <w:lvlJc w:val="left"/>
      <w:pPr>
        <w:ind w:left="6690" w:hanging="526"/>
      </w:pPr>
      <w:rPr>
        <w:rFonts w:hint="default"/>
        <w:lang w:val="en-US" w:eastAsia="zh-CN" w:bidi="ar-SA"/>
      </w:rPr>
    </w:lvl>
    <w:lvl w:ilvl="7" w:tentative="0">
      <w:start w:val="0"/>
      <w:numFmt w:val="bullet"/>
      <w:lvlText w:val="•"/>
      <w:lvlJc w:val="left"/>
      <w:pPr>
        <w:ind w:left="7515" w:hanging="526"/>
      </w:pPr>
      <w:rPr>
        <w:rFonts w:hint="default"/>
        <w:lang w:val="en-US" w:eastAsia="zh-CN" w:bidi="ar-SA"/>
      </w:rPr>
    </w:lvl>
    <w:lvl w:ilvl="8" w:tentative="0">
      <w:start w:val="0"/>
      <w:numFmt w:val="bullet"/>
      <w:lvlText w:val="•"/>
      <w:lvlJc w:val="left"/>
      <w:pPr>
        <w:ind w:left="8340" w:hanging="526"/>
      </w:pPr>
      <w:rPr>
        <w:rFonts w:hint="default"/>
        <w:lang w:val="en-US" w:eastAsia="zh-CN" w:bidi="ar-SA"/>
      </w:rPr>
    </w:lvl>
  </w:abstractNum>
  <w:abstractNum w:abstractNumId="11">
    <w:nsid w:val="FA5E274E"/>
    <w:multiLevelType w:val="singleLevel"/>
    <w:tmpl w:val="FA5E274E"/>
    <w:lvl w:ilvl="0" w:tentative="0">
      <w:start w:val="8"/>
      <w:numFmt w:val="chineseCounting"/>
      <w:suff w:val="nothing"/>
      <w:lvlText w:val="%1、"/>
      <w:lvlJc w:val="left"/>
      <w:rPr>
        <w:rFonts w:hint="eastAsia"/>
      </w:rPr>
    </w:lvl>
  </w:abstractNum>
  <w:abstractNum w:abstractNumId="12">
    <w:nsid w:val="043CAB57"/>
    <w:multiLevelType w:val="multilevel"/>
    <w:tmpl w:val="043CAB57"/>
    <w:lvl w:ilvl="0" w:tentative="0">
      <w:start w:val="1"/>
      <w:numFmt w:val="decimal"/>
      <w:lvlText w:val="%1."/>
      <w:lvlJc w:val="left"/>
      <w:pPr>
        <w:ind w:left="1387"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2241" w:hanging="165"/>
      </w:pPr>
      <w:rPr>
        <w:rFonts w:hint="default"/>
        <w:lang w:val="en-US" w:eastAsia="zh-CN" w:bidi="ar-SA"/>
      </w:rPr>
    </w:lvl>
    <w:lvl w:ilvl="2" w:tentative="0">
      <w:start w:val="0"/>
      <w:numFmt w:val="bullet"/>
      <w:lvlText w:val="•"/>
      <w:lvlJc w:val="left"/>
      <w:pPr>
        <w:ind w:left="3102" w:hanging="165"/>
      </w:pPr>
      <w:rPr>
        <w:rFonts w:hint="default"/>
        <w:lang w:val="en-US" w:eastAsia="zh-CN" w:bidi="ar-SA"/>
      </w:rPr>
    </w:lvl>
    <w:lvl w:ilvl="3" w:tentative="0">
      <w:start w:val="0"/>
      <w:numFmt w:val="bullet"/>
      <w:lvlText w:val="•"/>
      <w:lvlJc w:val="left"/>
      <w:pPr>
        <w:ind w:left="3963" w:hanging="165"/>
      </w:pPr>
      <w:rPr>
        <w:rFonts w:hint="default"/>
        <w:lang w:val="en-US" w:eastAsia="zh-CN" w:bidi="ar-SA"/>
      </w:rPr>
    </w:lvl>
    <w:lvl w:ilvl="4" w:tentative="0">
      <w:start w:val="0"/>
      <w:numFmt w:val="bullet"/>
      <w:lvlText w:val="•"/>
      <w:lvlJc w:val="left"/>
      <w:pPr>
        <w:ind w:left="4824" w:hanging="165"/>
      </w:pPr>
      <w:rPr>
        <w:rFonts w:hint="default"/>
        <w:lang w:val="en-US" w:eastAsia="zh-CN" w:bidi="ar-SA"/>
      </w:rPr>
    </w:lvl>
    <w:lvl w:ilvl="5" w:tentative="0">
      <w:start w:val="0"/>
      <w:numFmt w:val="bullet"/>
      <w:lvlText w:val="•"/>
      <w:lvlJc w:val="left"/>
      <w:pPr>
        <w:ind w:left="5685" w:hanging="165"/>
      </w:pPr>
      <w:rPr>
        <w:rFonts w:hint="default"/>
        <w:lang w:val="en-US" w:eastAsia="zh-CN" w:bidi="ar-SA"/>
      </w:rPr>
    </w:lvl>
    <w:lvl w:ilvl="6" w:tentative="0">
      <w:start w:val="0"/>
      <w:numFmt w:val="bullet"/>
      <w:lvlText w:val="•"/>
      <w:lvlJc w:val="left"/>
      <w:pPr>
        <w:ind w:left="6546" w:hanging="165"/>
      </w:pPr>
      <w:rPr>
        <w:rFonts w:hint="default"/>
        <w:lang w:val="en-US" w:eastAsia="zh-CN" w:bidi="ar-SA"/>
      </w:rPr>
    </w:lvl>
    <w:lvl w:ilvl="7" w:tentative="0">
      <w:start w:val="0"/>
      <w:numFmt w:val="bullet"/>
      <w:lvlText w:val="•"/>
      <w:lvlJc w:val="left"/>
      <w:pPr>
        <w:ind w:left="7407" w:hanging="165"/>
      </w:pPr>
      <w:rPr>
        <w:rFonts w:hint="default"/>
        <w:lang w:val="en-US" w:eastAsia="zh-CN" w:bidi="ar-SA"/>
      </w:rPr>
    </w:lvl>
    <w:lvl w:ilvl="8" w:tentative="0">
      <w:start w:val="0"/>
      <w:numFmt w:val="bullet"/>
      <w:lvlText w:val="•"/>
      <w:lvlJc w:val="left"/>
      <w:pPr>
        <w:ind w:left="8268" w:hanging="165"/>
      </w:pPr>
      <w:rPr>
        <w:rFonts w:hint="default"/>
        <w:lang w:val="en-US" w:eastAsia="zh-CN" w:bidi="ar-SA"/>
      </w:rPr>
    </w:lvl>
  </w:abstractNum>
  <w:abstractNum w:abstractNumId="13">
    <w:nsid w:val="061BE9C3"/>
    <w:multiLevelType w:val="multilevel"/>
    <w:tmpl w:val="061BE9C3"/>
    <w:lvl w:ilvl="0" w:tentative="0">
      <w:start w:val="1"/>
      <w:numFmt w:val="decimal"/>
      <w:lvlText w:val="%1."/>
      <w:lvlJc w:val="left"/>
      <w:pPr>
        <w:ind w:left="1523" w:hanging="300"/>
        <w:jc w:val="left"/>
      </w:pPr>
      <w:rPr>
        <w:rFonts w:hint="default" w:ascii="Calibri" w:hAnsi="Calibri" w:eastAsia="Calibri" w:cs="Calibri"/>
        <w:b w:val="0"/>
        <w:bCs w:val="0"/>
        <w:i w:val="0"/>
        <w:iCs w:val="0"/>
        <w:spacing w:val="-2"/>
        <w:w w:val="100"/>
        <w:sz w:val="24"/>
        <w:szCs w:val="24"/>
        <w:lang w:val="en-US" w:eastAsia="zh-CN" w:bidi="ar-SA"/>
      </w:rPr>
    </w:lvl>
    <w:lvl w:ilvl="1" w:tentative="0">
      <w:start w:val="1"/>
      <w:numFmt w:val="decimal"/>
      <w:lvlText w:val="%1.%2"/>
      <w:lvlJc w:val="left"/>
      <w:pPr>
        <w:ind w:left="802" w:hanging="376"/>
        <w:jc w:val="left"/>
      </w:pPr>
      <w:rPr>
        <w:rFonts w:hint="default"/>
        <w:spacing w:val="-2"/>
        <w:w w:val="100"/>
        <w:lang w:val="en-US" w:eastAsia="zh-CN" w:bidi="ar-SA"/>
      </w:rPr>
    </w:lvl>
    <w:lvl w:ilvl="2" w:tentative="0">
      <w:start w:val="1"/>
      <w:numFmt w:val="decimal"/>
      <w:lvlText w:val="%1.%2.%3"/>
      <w:lvlJc w:val="left"/>
      <w:pPr>
        <w:ind w:left="802" w:hanging="376"/>
        <w:jc w:val="left"/>
      </w:pPr>
      <w:rPr>
        <w:rFonts w:hint="default" w:ascii="Calibri" w:hAnsi="Calibri" w:eastAsia="Calibri" w:cs="Calibri"/>
        <w:b w:val="0"/>
        <w:bCs w:val="0"/>
        <w:i w:val="0"/>
        <w:iCs w:val="0"/>
        <w:spacing w:val="-2"/>
        <w:w w:val="100"/>
        <w:sz w:val="21"/>
        <w:szCs w:val="21"/>
        <w:lang w:val="en-US" w:eastAsia="zh-CN" w:bidi="ar-SA"/>
      </w:rPr>
    </w:lvl>
    <w:lvl w:ilvl="3" w:tentative="0">
      <w:start w:val="0"/>
      <w:numFmt w:val="bullet"/>
      <w:lvlText w:val="•"/>
      <w:lvlJc w:val="left"/>
      <w:pPr>
        <w:ind w:left="1640" w:hanging="376"/>
      </w:pPr>
      <w:rPr>
        <w:rFonts w:hint="default"/>
        <w:lang w:val="en-US" w:eastAsia="zh-CN" w:bidi="ar-SA"/>
      </w:rPr>
    </w:lvl>
    <w:lvl w:ilvl="4" w:tentative="0">
      <w:start w:val="0"/>
      <w:numFmt w:val="bullet"/>
      <w:lvlText w:val="•"/>
      <w:lvlJc w:val="left"/>
      <w:pPr>
        <w:ind w:left="1700" w:hanging="376"/>
      </w:pPr>
      <w:rPr>
        <w:rFonts w:hint="default"/>
        <w:lang w:val="en-US" w:eastAsia="zh-CN" w:bidi="ar-SA"/>
      </w:rPr>
    </w:lvl>
    <w:lvl w:ilvl="5" w:tentative="0">
      <w:start w:val="0"/>
      <w:numFmt w:val="bullet"/>
      <w:lvlText w:val="•"/>
      <w:lvlJc w:val="left"/>
      <w:pPr>
        <w:ind w:left="1720" w:hanging="376"/>
      </w:pPr>
      <w:rPr>
        <w:rFonts w:hint="default"/>
        <w:lang w:val="en-US" w:eastAsia="zh-CN" w:bidi="ar-SA"/>
      </w:rPr>
    </w:lvl>
    <w:lvl w:ilvl="6" w:tentative="0">
      <w:start w:val="0"/>
      <w:numFmt w:val="bullet"/>
      <w:lvlText w:val="•"/>
      <w:lvlJc w:val="left"/>
      <w:pPr>
        <w:ind w:left="1740" w:hanging="376"/>
      </w:pPr>
      <w:rPr>
        <w:rFonts w:hint="default"/>
        <w:lang w:val="en-US" w:eastAsia="zh-CN" w:bidi="ar-SA"/>
      </w:rPr>
    </w:lvl>
    <w:lvl w:ilvl="7" w:tentative="0">
      <w:start w:val="0"/>
      <w:numFmt w:val="bullet"/>
      <w:lvlText w:val="•"/>
      <w:lvlJc w:val="left"/>
      <w:pPr>
        <w:ind w:left="1760" w:hanging="376"/>
      </w:pPr>
      <w:rPr>
        <w:rFonts w:hint="default"/>
        <w:lang w:val="en-US" w:eastAsia="zh-CN" w:bidi="ar-SA"/>
      </w:rPr>
    </w:lvl>
    <w:lvl w:ilvl="8" w:tentative="0">
      <w:start w:val="0"/>
      <w:numFmt w:val="bullet"/>
      <w:lvlText w:val="•"/>
      <w:lvlJc w:val="left"/>
      <w:pPr>
        <w:ind w:left="4503" w:hanging="376"/>
      </w:pPr>
      <w:rPr>
        <w:rFonts w:hint="default"/>
        <w:lang w:val="en-US" w:eastAsia="zh-CN" w:bidi="ar-SA"/>
      </w:rPr>
    </w:lvl>
  </w:abstractNum>
  <w:abstractNum w:abstractNumId="14">
    <w:nsid w:val="07D57973"/>
    <w:multiLevelType w:val="multilevel"/>
    <w:tmpl w:val="07D57973"/>
    <w:lvl w:ilvl="0" w:tentative="0">
      <w:start w:val="5"/>
      <w:numFmt w:val="decimal"/>
      <w:lvlText w:val="（%1）"/>
      <w:lvlJc w:val="left"/>
      <w:pPr>
        <w:ind w:left="174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565" w:hanging="526"/>
      </w:pPr>
      <w:rPr>
        <w:rFonts w:hint="default"/>
        <w:lang w:val="en-US" w:eastAsia="zh-CN" w:bidi="ar-SA"/>
      </w:rPr>
    </w:lvl>
    <w:lvl w:ilvl="2" w:tentative="0">
      <w:start w:val="0"/>
      <w:numFmt w:val="bullet"/>
      <w:lvlText w:val="•"/>
      <w:lvlJc w:val="left"/>
      <w:pPr>
        <w:ind w:left="3390" w:hanging="526"/>
      </w:pPr>
      <w:rPr>
        <w:rFonts w:hint="default"/>
        <w:lang w:val="en-US" w:eastAsia="zh-CN" w:bidi="ar-SA"/>
      </w:rPr>
    </w:lvl>
    <w:lvl w:ilvl="3" w:tentative="0">
      <w:start w:val="0"/>
      <w:numFmt w:val="bullet"/>
      <w:lvlText w:val="•"/>
      <w:lvlJc w:val="left"/>
      <w:pPr>
        <w:ind w:left="4215" w:hanging="526"/>
      </w:pPr>
      <w:rPr>
        <w:rFonts w:hint="default"/>
        <w:lang w:val="en-US" w:eastAsia="zh-CN" w:bidi="ar-SA"/>
      </w:rPr>
    </w:lvl>
    <w:lvl w:ilvl="4" w:tentative="0">
      <w:start w:val="0"/>
      <w:numFmt w:val="bullet"/>
      <w:lvlText w:val="•"/>
      <w:lvlJc w:val="left"/>
      <w:pPr>
        <w:ind w:left="5040" w:hanging="526"/>
      </w:pPr>
      <w:rPr>
        <w:rFonts w:hint="default"/>
        <w:lang w:val="en-US" w:eastAsia="zh-CN" w:bidi="ar-SA"/>
      </w:rPr>
    </w:lvl>
    <w:lvl w:ilvl="5" w:tentative="0">
      <w:start w:val="0"/>
      <w:numFmt w:val="bullet"/>
      <w:lvlText w:val="•"/>
      <w:lvlJc w:val="left"/>
      <w:pPr>
        <w:ind w:left="5865" w:hanging="526"/>
      </w:pPr>
      <w:rPr>
        <w:rFonts w:hint="default"/>
        <w:lang w:val="en-US" w:eastAsia="zh-CN" w:bidi="ar-SA"/>
      </w:rPr>
    </w:lvl>
    <w:lvl w:ilvl="6" w:tentative="0">
      <w:start w:val="0"/>
      <w:numFmt w:val="bullet"/>
      <w:lvlText w:val="•"/>
      <w:lvlJc w:val="left"/>
      <w:pPr>
        <w:ind w:left="6690" w:hanging="526"/>
      </w:pPr>
      <w:rPr>
        <w:rFonts w:hint="default"/>
        <w:lang w:val="en-US" w:eastAsia="zh-CN" w:bidi="ar-SA"/>
      </w:rPr>
    </w:lvl>
    <w:lvl w:ilvl="7" w:tentative="0">
      <w:start w:val="0"/>
      <w:numFmt w:val="bullet"/>
      <w:lvlText w:val="•"/>
      <w:lvlJc w:val="left"/>
      <w:pPr>
        <w:ind w:left="7515" w:hanging="526"/>
      </w:pPr>
      <w:rPr>
        <w:rFonts w:hint="default"/>
        <w:lang w:val="en-US" w:eastAsia="zh-CN" w:bidi="ar-SA"/>
      </w:rPr>
    </w:lvl>
    <w:lvl w:ilvl="8" w:tentative="0">
      <w:start w:val="0"/>
      <w:numFmt w:val="bullet"/>
      <w:lvlText w:val="•"/>
      <w:lvlJc w:val="left"/>
      <w:pPr>
        <w:ind w:left="8340" w:hanging="526"/>
      </w:pPr>
      <w:rPr>
        <w:rFonts w:hint="default"/>
        <w:lang w:val="en-US" w:eastAsia="zh-CN" w:bidi="ar-SA"/>
      </w:rPr>
    </w:lvl>
  </w:abstractNum>
  <w:abstractNum w:abstractNumId="15">
    <w:nsid w:val="2092D8CE"/>
    <w:multiLevelType w:val="multilevel"/>
    <w:tmpl w:val="2092D8CE"/>
    <w:lvl w:ilvl="0" w:tentative="0">
      <w:start w:val="1"/>
      <w:numFmt w:val="decimal"/>
      <w:lvlText w:val="（%1）"/>
      <w:lvlJc w:val="left"/>
      <w:pPr>
        <w:ind w:left="174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565" w:hanging="526"/>
      </w:pPr>
      <w:rPr>
        <w:rFonts w:hint="default"/>
        <w:lang w:val="en-US" w:eastAsia="zh-CN" w:bidi="ar-SA"/>
      </w:rPr>
    </w:lvl>
    <w:lvl w:ilvl="2" w:tentative="0">
      <w:start w:val="0"/>
      <w:numFmt w:val="bullet"/>
      <w:lvlText w:val="•"/>
      <w:lvlJc w:val="left"/>
      <w:pPr>
        <w:ind w:left="3390" w:hanging="526"/>
      </w:pPr>
      <w:rPr>
        <w:rFonts w:hint="default"/>
        <w:lang w:val="en-US" w:eastAsia="zh-CN" w:bidi="ar-SA"/>
      </w:rPr>
    </w:lvl>
    <w:lvl w:ilvl="3" w:tentative="0">
      <w:start w:val="0"/>
      <w:numFmt w:val="bullet"/>
      <w:lvlText w:val="•"/>
      <w:lvlJc w:val="left"/>
      <w:pPr>
        <w:ind w:left="4215" w:hanging="526"/>
      </w:pPr>
      <w:rPr>
        <w:rFonts w:hint="default"/>
        <w:lang w:val="en-US" w:eastAsia="zh-CN" w:bidi="ar-SA"/>
      </w:rPr>
    </w:lvl>
    <w:lvl w:ilvl="4" w:tentative="0">
      <w:start w:val="0"/>
      <w:numFmt w:val="bullet"/>
      <w:lvlText w:val="•"/>
      <w:lvlJc w:val="left"/>
      <w:pPr>
        <w:ind w:left="5040" w:hanging="526"/>
      </w:pPr>
      <w:rPr>
        <w:rFonts w:hint="default"/>
        <w:lang w:val="en-US" w:eastAsia="zh-CN" w:bidi="ar-SA"/>
      </w:rPr>
    </w:lvl>
    <w:lvl w:ilvl="5" w:tentative="0">
      <w:start w:val="0"/>
      <w:numFmt w:val="bullet"/>
      <w:lvlText w:val="•"/>
      <w:lvlJc w:val="left"/>
      <w:pPr>
        <w:ind w:left="5865" w:hanging="526"/>
      </w:pPr>
      <w:rPr>
        <w:rFonts w:hint="default"/>
        <w:lang w:val="en-US" w:eastAsia="zh-CN" w:bidi="ar-SA"/>
      </w:rPr>
    </w:lvl>
    <w:lvl w:ilvl="6" w:tentative="0">
      <w:start w:val="0"/>
      <w:numFmt w:val="bullet"/>
      <w:lvlText w:val="•"/>
      <w:lvlJc w:val="left"/>
      <w:pPr>
        <w:ind w:left="6690" w:hanging="526"/>
      </w:pPr>
      <w:rPr>
        <w:rFonts w:hint="default"/>
        <w:lang w:val="en-US" w:eastAsia="zh-CN" w:bidi="ar-SA"/>
      </w:rPr>
    </w:lvl>
    <w:lvl w:ilvl="7" w:tentative="0">
      <w:start w:val="0"/>
      <w:numFmt w:val="bullet"/>
      <w:lvlText w:val="•"/>
      <w:lvlJc w:val="left"/>
      <w:pPr>
        <w:ind w:left="7515" w:hanging="526"/>
      </w:pPr>
      <w:rPr>
        <w:rFonts w:hint="default"/>
        <w:lang w:val="en-US" w:eastAsia="zh-CN" w:bidi="ar-SA"/>
      </w:rPr>
    </w:lvl>
    <w:lvl w:ilvl="8" w:tentative="0">
      <w:start w:val="0"/>
      <w:numFmt w:val="bullet"/>
      <w:lvlText w:val="•"/>
      <w:lvlJc w:val="left"/>
      <w:pPr>
        <w:ind w:left="8340" w:hanging="526"/>
      </w:pPr>
      <w:rPr>
        <w:rFonts w:hint="default"/>
        <w:lang w:val="en-US" w:eastAsia="zh-CN" w:bidi="ar-SA"/>
      </w:rPr>
    </w:lvl>
  </w:abstractNum>
  <w:abstractNum w:abstractNumId="16">
    <w:nsid w:val="224D2A02"/>
    <w:multiLevelType w:val="multilevel"/>
    <w:tmpl w:val="224D2A02"/>
    <w:lvl w:ilvl="0" w:tentative="0">
      <w:start w:val="1"/>
      <w:numFmt w:val="japaneseCounting"/>
      <w:lvlText w:val="第%1章"/>
      <w:lvlJc w:val="left"/>
      <w:pPr>
        <w:ind w:left="4342" w:hanging="1790"/>
      </w:pPr>
      <w:rPr>
        <w:rFonts w:hint="default"/>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17">
    <w:nsid w:val="36D2672B"/>
    <w:multiLevelType w:val="multilevel"/>
    <w:tmpl w:val="36D2672B"/>
    <w:lvl w:ilvl="0" w:tentative="0">
      <w:start w:val="1"/>
      <w:numFmt w:val="decimal"/>
      <w:lvlText w:val="（%1）"/>
      <w:lvlJc w:val="left"/>
      <w:pPr>
        <w:ind w:left="174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565" w:hanging="526"/>
      </w:pPr>
      <w:rPr>
        <w:rFonts w:hint="default"/>
        <w:lang w:val="en-US" w:eastAsia="zh-CN" w:bidi="ar-SA"/>
      </w:rPr>
    </w:lvl>
    <w:lvl w:ilvl="2" w:tentative="0">
      <w:start w:val="0"/>
      <w:numFmt w:val="bullet"/>
      <w:lvlText w:val="•"/>
      <w:lvlJc w:val="left"/>
      <w:pPr>
        <w:ind w:left="3390" w:hanging="526"/>
      </w:pPr>
      <w:rPr>
        <w:rFonts w:hint="default"/>
        <w:lang w:val="en-US" w:eastAsia="zh-CN" w:bidi="ar-SA"/>
      </w:rPr>
    </w:lvl>
    <w:lvl w:ilvl="3" w:tentative="0">
      <w:start w:val="0"/>
      <w:numFmt w:val="bullet"/>
      <w:lvlText w:val="•"/>
      <w:lvlJc w:val="left"/>
      <w:pPr>
        <w:ind w:left="4215" w:hanging="526"/>
      </w:pPr>
      <w:rPr>
        <w:rFonts w:hint="default"/>
        <w:lang w:val="en-US" w:eastAsia="zh-CN" w:bidi="ar-SA"/>
      </w:rPr>
    </w:lvl>
    <w:lvl w:ilvl="4" w:tentative="0">
      <w:start w:val="0"/>
      <w:numFmt w:val="bullet"/>
      <w:lvlText w:val="•"/>
      <w:lvlJc w:val="left"/>
      <w:pPr>
        <w:ind w:left="5040" w:hanging="526"/>
      </w:pPr>
      <w:rPr>
        <w:rFonts w:hint="default"/>
        <w:lang w:val="en-US" w:eastAsia="zh-CN" w:bidi="ar-SA"/>
      </w:rPr>
    </w:lvl>
    <w:lvl w:ilvl="5" w:tentative="0">
      <w:start w:val="0"/>
      <w:numFmt w:val="bullet"/>
      <w:lvlText w:val="•"/>
      <w:lvlJc w:val="left"/>
      <w:pPr>
        <w:ind w:left="5865" w:hanging="526"/>
      </w:pPr>
      <w:rPr>
        <w:rFonts w:hint="default"/>
        <w:lang w:val="en-US" w:eastAsia="zh-CN" w:bidi="ar-SA"/>
      </w:rPr>
    </w:lvl>
    <w:lvl w:ilvl="6" w:tentative="0">
      <w:start w:val="0"/>
      <w:numFmt w:val="bullet"/>
      <w:lvlText w:val="•"/>
      <w:lvlJc w:val="left"/>
      <w:pPr>
        <w:ind w:left="6690" w:hanging="526"/>
      </w:pPr>
      <w:rPr>
        <w:rFonts w:hint="default"/>
        <w:lang w:val="en-US" w:eastAsia="zh-CN" w:bidi="ar-SA"/>
      </w:rPr>
    </w:lvl>
    <w:lvl w:ilvl="7" w:tentative="0">
      <w:start w:val="0"/>
      <w:numFmt w:val="bullet"/>
      <w:lvlText w:val="•"/>
      <w:lvlJc w:val="left"/>
      <w:pPr>
        <w:ind w:left="7515" w:hanging="526"/>
      </w:pPr>
      <w:rPr>
        <w:rFonts w:hint="default"/>
        <w:lang w:val="en-US" w:eastAsia="zh-CN" w:bidi="ar-SA"/>
      </w:rPr>
    </w:lvl>
    <w:lvl w:ilvl="8" w:tentative="0">
      <w:start w:val="0"/>
      <w:numFmt w:val="bullet"/>
      <w:lvlText w:val="•"/>
      <w:lvlJc w:val="left"/>
      <w:pPr>
        <w:ind w:left="8340" w:hanging="526"/>
      </w:pPr>
      <w:rPr>
        <w:rFonts w:hint="default"/>
        <w:lang w:val="en-US" w:eastAsia="zh-CN" w:bidi="ar-SA"/>
      </w:rPr>
    </w:lvl>
  </w:abstractNum>
  <w:abstractNum w:abstractNumId="18">
    <w:nsid w:val="4C75305C"/>
    <w:multiLevelType w:val="multilevel"/>
    <w:tmpl w:val="4C75305C"/>
    <w:lvl w:ilvl="0" w:tentative="0">
      <w:start w:val="1"/>
      <w:numFmt w:val="decimal"/>
      <w:lvlText w:val="（%1）"/>
      <w:lvlJc w:val="left"/>
      <w:pPr>
        <w:ind w:left="1824" w:hanging="527"/>
        <w:jc w:val="left"/>
      </w:pPr>
      <w:rPr>
        <w:rFonts w:hint="default" w:ascii="宋体" w:hAnsi="宋体" w:eastAsia="宋体" w:cs="宋体"/>
        <w:b w:val="0"/>
        <w:bCs w:val="0"/>
        <w:i w:val="0"/>
        <w:iCs w:val="0"/>
        <w:spacing w:val="-1"/>
        <w:w w:val="100"/>
        <w:sz w:val="19"/>
        <w:szCs w:val="19"/>
        <w:lang w:val="en-US" w:eastAsia="zh-CN" w:bidi="ar-SA"/>
      </w:rPr>
    </w:lvl>
    <w:lvl w:ilvl="1" w:tentative="0">
      <w:start w:val="0"/>
      <w:numFmt w:val="bullet"/>
      <w:lvlText w:val="•"/>
      <w:lvlJc w:val="left"/>
      <w:pPr>
        <w:ind w:left="2637" w:hanging="527"/>
      </w:pPr>
      <w:rPr>
        <w:rFonts w:hint="default"/>
        <w:lang w:val="en-US" w:eastAsia="zh-CN" w:bidi="ar-SA"/>
      </w:rPr>
    </w:lvl>
    <w:lvl w:ilvl="2" w:tentative="0">
      <w:start w:val="0"/>
      <w:numFmt w:val="bullet"/>
      <w:lvlText w:val="•"/>
      <w:lvlJc w:val="left"/>
      <w:pPr>
        <w:ind w:left="3454" w:hanging="527"/>
      </w:pPr>
      <w:rPr>
        <w:rFonts w:hint="default"/>
        <w:lang w:val="en-US" w:eastAsia="zh-CN" w:bidi="ar-SA"/>
      </w:rPr>
    </w:lvl>
    <w:lvl w:ilvl="3" w:tentative="0">
      <w:start w:val="0"/>
      <w:numFmt w:val="bullet"/>
      <w:lvlText w:val="•"/>
      <w:lvlJc w:val="left"/>
      <w:pPr>
        <w:ind w:left="4271" w:hanging="527"/>
      </w:pPr>
      <w:rPr>
        <w:rFonts w:hint="default"/>
        <w:lang w:val="en-US" w:eastAsia="zh-CN" w:bidi="ar-SA"/>
      </w:rPr>
    </w:lvl>
    <w:lvl w:ilvl="4" w:tentative="0">
      <w:start w:val="0"/>
      <w:numFmt w:val="bullet"/>
      <w:lvlText w:val="•"/>
      <w:lvlJc w:val="left"/>
      <w:pPr>
        <w:ind w:left="5088" w:hanging="527"/>
      </w:pPr>
      <w:rPr>
        <w:rFonts w:hint="default"/>
        <w:lang w:val="en-US" w:eastAsia="zh-CN" w:bidi="ar-SA"/>
      </w:rPr>
    </w:lvl>
    <w:lvl w:ilvl="5" w:tentative="0">
      <w:start w:val="0"/>
      <w:numFmt w:val="bullet"/>
      <w:lvlText w:val="•"/>
      <w:lvlJc w:val="left"/>
      <w:pPr>
        <w:ind w:left="5905" w:hanging="527"/>
      </w:pPr>
      <w:rPr>
        <w:rFonts w:hint="default"/>
        <w:lang w:val="en-US" w:eastAsia="zh-CN" w:bidi="ar-SA"/>
      </w:rPr>
    </w:lvl>
    <w:lvl w:ilvl="6" w:tentative="0">
      <w:start w:val="0"/>
      <w:numFmt w:val="bullet"/>
      <w:lvlText w:val="•"/>
      <w:lvlJc w:val="left"/>
      <w:pPr>
        <w:ind w:left="6722" w:hanging="527"/>
      </w:pPr>
      <w:rPr>
        <w:rFonts w:hint="default"/>
        <w:lang w:val="en-US" w:eastAsia="zh-CN" w:bidi="ar-SA"/>
      </w:rPr>
    </w:lvl>
    <w:lvl w:ilvl="7" w:tentative="0">
      <w:start w:val="0"/>
      <w:numFmt w:val="bullet"/>
      <w:lvlText w:val="•"/>
      <w:lvlJc w:val="left"/>
      <w:pPr>
        <w:ind w:left="7539" w:hanging="527"/>
      </w:pPr>
      <w:rPr>
        <w:rFonts w:hint="default"/>
        <w:lang w:val="en-US" w:eastAsia="zh-CN" w:bidi="ar-SA"/>
      </w:rPr>
    </w:lvl>
    <w:lvl w:ilvl="8" w:tentative="0">
      <w:start w:val="0"/>
      <w:numFmt w:val="bullet"/>
      <w:lvlText w:val="•"/>
      <w:lvlJc w:val="left"/>
      <w:pPr>
        <w:ind w:left="8356" w:hanging="527"/>
      </w:pPr>
      <w:rPr>
        <w:rFonts w:hint="default"/>
        <w:lang w:val="en-US" w:eastAsia="zh-CN" w:bidi="ar-SA"/>
      </w:rPr>
    </w:lvl>
  </w:abstractNum>
  <w:abstractNum w:abstractNumId="19">
    <w:nsid w:val="4E7AF21F"/>
    <w:multiLevelType w:val="multilevel"/>
    <w:tmpl w:val="4E7AF21F"/>
    <w:lvl w:ilvl="0" w:tentative="0">
      <w:start w:val="1"/>
      <w:numFmt w:val="decimal"/>
      <w:lvlText w:val="%1."/>
      <w:lvlJc w:val="left"/>
      <w:pPr>
        <w:ind w:left="1387"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2241" w:hanging="165"/>
      </w:pPr>
      <w:rPr>
        <w:rFonts w:hint="default"/>
        <w:lang w:val="en-US" w:eastAsia="zh-CN" w:bidi="ar-SA"/>
      </w:rPr>
    </w:lvl>
    <w:lvl w:ilvl="2" w:tentative="0">
      <w:start w:val="0"/>
      <w:numFmt w:val="bullet"/>
      <w:lvlText w:val="•"/>
      <w:lvlJc w:val="left"/>
      <w:pPr>
        <w:ind w:left="3102" w:hanging="165"/>
      </w:pPr>
      <w:rPr>
        <w:rFonts w:hint="default"/>
        <w:lang w:val="en-US" w:eastAsia="zh-CN" w:bidi="ar-SA"/>
      </w:rPr>
    </w:lvl>
    <w:lvl w:ilvl="3" w:tentative="0">
      <w:start w:val="0"/>
      <w:numFmt w:val="bullet"/>
      <w:lvlText w:val="•"/>
      <w:lvlJc w:val="left"/>
      <w:pPr>
        <w:ind w:left="3963" w:hanging="165"/>
      </w:pPr>
      <w:rPr>
        <w:rFonts w:hint="default"/>
        <w:lang w:val="en-US" w:eastAsia="zh-CN" w:bidi="ar-SA"/>
      </w:rPr>
    </w:lvl>
    <w:lvl w:ilvl="4" w:tentative="0">
      <w:start w:val="0"/>
      <w:numFmt w:val="bullet"/>
      <w:lvlText w:val="•"/>
      <w:lvlJc w:val="left"/>
      <w:pPr>
        <w:ind w:left="4824" w:hanging="165"/>
      </w:pPr>
      <w:rPr>
        <w:rFonts w:hint="default"/>
        <w:lang w:val="en-US" w:eastAsia="zh-CN" w:bidi="ar-SA"/>
      </w:rPr>
    </w:lvl>
    <w:lvl w:ilvl="5" w:tentative="0">
      <w:start w:val="0"/>
      <w:numFmt w:val="bullet"/>
      <w:lvlText w:val="•"/>
      <w:lvlJc w:val="left"/>
      <w:pPr>
        <w:ind w:left="5685" w:hanging="165"/>
      </w:pPr>
      <w:rPr>
        <w:rFonts w:hint="default"/>
        <w:lang w:val="en-US" w:eastAsia="zh-CN" w:bidi="ar-SA"/>
      </w:rPr>
    </w:lvl>
    <w:lvl w:ilvl="6" w:tentative="0">
      <w:start w:val="0"/>
      <w:numFmt w:val="bullet"/>
      <w:lvlText w:val="•"/>
      <w:lvlJc w:val="left"/>
      <w:pPr>
        <w:ind w:left="6546" w:hanging="165"/>
      </w:pPr>
      <w:rPr>
        <w:rFonts w:hint="default"/>
        <w:lang w:val="en-US" w:eastAsia="zh-CN" w:bidi="ar-SA"/>
      </w:rPr>
    </w:lvl>
    <w:lvl w:ilvl="7" w:tentative="0">
      <w:start w:val="0"/>
      <w:numFmt w:val="bullet"/>
      <w:lvlText w:val="•"/>
      <w:lvlJc w:val="left"/>
      <w:pPr>
        <w:ind w:left="7407" w:hanging="165"/>
      </w:pPr>
      <w:rPr>
        <w:rFonts w:hint="default"/>
        <w:lang w:val="en-US" w:eastAsia="zh-CN" w:bidi="ar-SA"/>
      </w:rPr>
    </w:lvl>
    <w:lvl w:ilvl="8" w:tentative="0">
      <w:start w:val="0"/>
      <w:numFmt w:val="bullet"/>
      <w:lvlText w:val="•"/>
      <w:lvlJc w:val="left"/>
      <w:pPr>
        <w:ind w:left="8268" w:hanging="165"/>
      </w:pPr>
      <w:rPr>
        <w:rFonts w:hint="default"/>
        <w:lang w:val="en-US" w:eastAsia="zh-CN" w:bidi="ar-SA"/>
      </w:rPr>
    </w:lvl>
  </w:abstractNum>
  <w:abstractNum w:abstractNumId="20">
    <w:nsid w:val="518C9049"/>
    <w:multiLevelType w:val="multilevel"/>
    <w:tmpl w:val="518C9049"/>
    <w:lvl w:ilvl="0" w:tentative="0">
      <w:start w:val="1"/>
      <w:numFmt w:val="decimal"/>
      <w:lvlText w:val="（%1）"/>
      <w:lvlJc w:val="left"/>
      <w:pPr>
        <w:ind w:left="174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565" w:hanging="526"/>
      </w:pPr>
      <w:rPr>
        <w:rFonts w:hint="default"/>
        <w:lang w:val="en-US" w:eastAsia="zh-CN" w:bidi="ar-SA"/>
      </w:rPr>
    </w:lvl>
    <w:lvl w:ilvl="2" w:tentative="0">
      <w:start w:val="0"/>
      <w:numFmt w:val="bullet"/>
      <w:lvlText w:val="•"/>
      <w:lvlJc w:val="left"/>
      <w:pPr>
        <w:ind w:left="3390" w:hanging="526"/>
      </w:pPr>
      <w:rPr>
        <w:rFonts w:hint="default"/>
        <w:lang w:val="en-US" w:eastAsia="zh-CN" w:bidi="ar-SA"/>
      </w:rPr>
    </w:lvl>
    <w:lvl w:ilvl="3" w:tentative="0">
      <w:start w:val="0"/>
      <w:numFmt w:val="bullet"/>
      <w:lvlText w:val="•"/>
      <w:lvlJc w:val="left"/>
      <w:pPr>
        <w:ind w:left="4215" w:hanging="526"/>
      </w:pPr>
      <w:rPr>
        <w:rFonts w:hint="default"/>
        <w:lang w:val="en-US" w:eastAsia="zh-CN" w:bidi="ar-SA"/>
      </w:rPr>
    </w:lvl>
    <w:lvl w:ilvl="4" w:tentative="0">
      <w:start w:val="0"/>
      <w:numFmt w:val="bullet"/>
      <w:lvlText w:val="•"/>
      <w:lvlJc w:val="left"/>
      <w:pPr>
        <w:ind w:left="5040" w:hanging="526"/>
      </w:pPr>
      <w:rPr>
        <w:rFonts w:hint="default"/>
        <w:lang w:val="en-US" w:eastAsia="zh-CN" w:bidi="ar-SA"/>
      </w:rPr>
    </w:lvl>
    <w:lvl w:ilvl="5" w:tentative="0">
      <w:start w:val="0"/>
      <w:numFmt w:val="bullet"/>
      <w:lvlText w:val="•"/>
      <w:lvlJc w:val="left"/>
      <w:pPr>
        <w:ind w:left="5865" w:hanging="526"/>
      </w:pPr>
      <w:rPr>
        <w:rFonts w:hint="default"/>
        <w:lang w:val="en-US" w:eastAsia="zh-CN" w:bidi="ar-SA"/>
      </w:rPr>
    </w:lvl>
    <w:lvl w:ilvl="6" w:tentative="0">
      <w:start w:val="0"/>
      <w:numFmt w:val="bullet"/>
      <w:lvlText w:val="•"/>
      <w:lvlJc w:val="left"/>
      <w:pPr>
        <w:ind w:left="6690" w:hanging="526"/>
      </w:pPr>
      <w:rPr>
        <w:rFonts w:hint="default"/>
        <w:lang w:val="en-US" w:eastAsia="zh-CN" w:bidi="ar-SA"/>
      </w:rPr>
    </w:lvl>
    <w:lvl w:ilvl="7" w:tentative="0">
      <w:start w:val="0"/>
      <w:numFmt w:val="bullet"/>
      <w:lvlText w:val="•"/>
      <w:lvlJc w:val="left"/>
      <w:pPr>
        <w:ind w:left="7515" w:hanging="526"/>
      </w:pPr>
      <w:rPr>
        <w:rFonts w:hint="default"/>
        <w:lang w:val="en-US" w:eastAsia="zh-CN" w:bidi="ar-SA"/>
      </w:rPr>
    </w:lvl>
    <w:lvl w:ilvl="8" w:tentative="0">
      <w:start w:val="0"/>
      <w:numFmt w:val="bullet"/>
      <w:lvlText w:val="•"/>
      <w:lvlJc w:val="left"/>
      <w:pPr>
        <w:ind w:left="8340" w:hanging="526"/>
      </w:pPr>
      <w:rPr>
        <w:rFonts w:hint="default"/>
        <w:lang w:val="en-US" w:eastAsia="zh-CN" w:bidi="ar-SA"/>
      </w:rPr>
    </w:lvl>
  </w:abstractNum>
  <w:abstractNum w:abstractNumId="21">
    <w:nsid w:val="54AA4858"/>
    <w:multiLevelType w:val="multilevel"/>
    <w:tmpl w:val="54AA4858"/>
    <w:lvl w:ilvl="0" w:tentative="0">
      <w:start w:val="1"/>
      <w:numFmt w:val="decimal"/>
      <w:lvlText w:val="（%1）"/>
      <w:lvlJc w:val="left"/>
      <w:pPr>
        <w:ind w:left="802"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719" w:hanging="526"/>
      </w:pPr>
      <w:rPr>
        <w:rFonts w:hint="default"/>
        <w:lang w:val="en-US" w:eastAsia="zh-CN" w:bidi="ar-SA"/>
      </w:rPr>
    </w:lvl>
    <w:lvl w:ilvl="2" w:tentative="0">
      <w:start w:val="0"/>
      <w:numFmt w:val="bullet"/>
      <w:lvlText w:val="•"/>
      <w:lvlJc w:val="left"/>
      <w:pPr>
        <w:ind w:left="2638" w:hanging="526"/>
      </w:pPr>
      <w:rPr>
        <w:rFonts w:hint="default"/>
        <w:lang w:val="en-US" w:eastAsia="zh-CN" w:bidi="ar-SA"/>
      </w:rPr>
    </w:lvl>
    <w:lvl w:ilvl="3" w:tentative="0">
      <w:start w:val="0"/>
      <w:numFmt w:val="bullet"/>
      <w:lvlText w:val="•"/>
      <w:lvlJc w:val="left"/>
      <w:pPr>
        <w:ind w:left="3557" w:hanging="526"/>
      </w:pPr>
      <w:rPr>
        <w:rFonts w:hint="default"/>
        <w:lang w:val="en-US" w:eastAsia="zh-CN" w:bidi="ar-SA"/>
      </w:rPr>
    </w:lvl>
    <w:lvl w:ilvl="4" w:tentative="0">
      <w:start w:val="0"/>
      <w:numFmt w:val="bullet"/>
      <w:lvlText w:val="•"/>
      <w:lvlJc w:val="left"/>
      <w:pPr>
        <w:ind w:left="4476" w:hanging="526"/>
      </w:pPr>
      <w:rPr>
        <w:rFonts w:hint="default"/>
        <w:lang w:val="en-US" w:eastAsia="zh-CN" w:bidi="ar-SA"/>
      </w:rPr>
    </w:lvl>
    <w:lvl w:ilvl="5" w:tentative="0">
      <w:start w:val="0"/>
      <w:numFmt w:val="bullet"/>
      <w:lvlText w:val="•"/>
      <w:lvlJc w:val="left"/>
      <w:pPr>
        <w:ind w:left="5395" w:hanging="526"/>
      </w:pPr>
      <w:rPr>
        <w:rFonts w:hint="default"/>
        <w:lang w:val="en-US" w:eastAsia="zh-CN" w:bidi="ar-SA"/>
      </w:rPr>
    </w:lvl>
    <w:lvl w:ilvl="6" w:tentative="0">
      <w:start w:val="0"/>
      <w:numFmt w:val="bullet"/>
      <w:lvlText w:val="•"/>
      <w:lvlJc w:val="left"/>
      <w:pPr>
        <w:ind w:left="6314" w:hanging="526"/>
      </w:pPr>
      <w:rPr>
        <w:rFonts w:hint="default"/>
        <w:lang w:val="en-US" w:eastAsia="zh-CN" w:bidi="ar-SA"/>
      </w:rPr>
    </w:lvl>
    <w:lvl w:ilvl="7" w:tentative="0">
      <w:start w:val="0"/>
      <w:numFmt w:val="bullet"/>
      <w:lvlText w:val="•"/>
      <w:lvlJc w:val="left"/>
      <w:pPr>
        <w:ind w:left="7233" w:hanging="526"/>
      </w:pPr>
      <w:rPr>
        <w:rFonts w:hint="default"/>
        <w:lang w:val="en-US" w:eastAsia="zh-CN" w:bidi="ar-SA"/>
      </w:rPr>
    </w:lvl>
    <w:lvl w:ilvl="8" w:tentative="0">
      <w:start w:val="0"/>
      <w:numFmt w:val="bullet"/>
      <w:lvlText w:val="•"/>
      <w:lvlJc w:val="left"/>
      <w:pPr>
        <w:ind w:left="8152" w:hanging="526"/>
      </w:pPr>
      <w:rPr>
        <w:rFonts w:hint="default"/>
        <w:lang w:val="en-US" w:eastAsia="zh-CN" w:bidi="ar-SA"/>
      </w:rPr>
    </w:lvl>
  </w:abstractNum>
  <w:abstractNum w:abstractNumId="22">
    <w:nsid w:val="583C80A2"/>
    <w:multiLevelType w:val="multilevel"/>
    <w:tmpl w:val="583C80A2"/>
    <w:lvl w:ilvl="0" w:tentative="0">
      <w:start w:val="1"/>
      <w:numFmt w:val="decimal"/>
      <w:lvlText w:val="（%1）"/>
      <w:lvlJc w:val="left"/>
      <w:pPr>
        <w:ind w:left="174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565" w:hanging="526"/>
      </w:pPr>
      <w:rPr>
        <w:rFonts w:hint="default"/>
        <w:lang w:val="en-US" w:eastAsia="zh-CN" w:bidi="ar-SA"/>
      </w:rPr>
    </w:lvl>
    <w:lvl w:ilvl="2" w:tentative="0">
      <w:start w:val="0"/>
      <w:numFmt w:val="bullet"/>
      <w:lvlText w:val="•"/>
      <w:lvlJc w:val="left"/>
      <w:pPr>
        <w:ind w:left="3390" w:hanging="526"/>
      </w:pPr>
      <w:rPr>
        <w:rFonts w:hint="default"/>
        <w:lang w:val="en-US" w:eastAsia="zh-CN" w:bidi="ar-SA"/>
      </w:rPr>
    </w:lvl>
    <w:lvl w:ilvl="3" w:tentative="0">
      <w:start w:val="0"/>
      <w:numFmt w:val="bullet"/>
      <w:lvlText w:val="•"/>
      <w:lvlJc w:val="left"/>
      <w:pPr>
        <w:ind w:left="4215" w:hanging="526"/>
      </w:pPr>
      <w:rPr>
        <w:rFonts w:hint="default"/>
        <w:lang w:val="en-US" w:eastAsia="zh-CN" w:bidi="ar-SA"/>
      </w:rPr>
    </w:lvl>
    <w:lvl w:ilvl="4" w:tentative="0">
      <w:start w:val="0"/>
      <w:numFmt w:val="bullet"/>
      <w:lvlText w:val="•"/>
      <w:lvlJc w:val="left"/>
      <w:pPr>
        <w:ind w:left="5040" w:hanging="526"/>
      </w:pPr>
      <w:rPr>
        <w:rFonts w:hint="default"/>
        <w:lang w:val="en-US" w:eastAsia="zh-CN" w:bidi="ar-SA"/>
      </w:rPr>
    </w:lvl>
    <w:lvl w:ilvl="5" w:tentative="0">
      <w:start w:val="0"/>
      <w:numFmt w:val="bullet"/>
      <w:lvlText w:val="•"/>
      <w:lvlJc w:val="left"/>
      <w:pPr>
        <w:ind w:left="5865" w:hanging="526"/>
      </w:pPr>
      <w:rPr>
        <w:rFonts w:hint="default"/>
        <w:lang w:val="en-US" w:eastAsia="zh-CN" w:bidi="ar-SA"/>
      </w:rPr>
    </w:lvl>
    <w:lvl w:ilvl="6" w:tentative="0">
      <w:start w:val="0"/>
      <w:numFmt w:val="bullet"/>
      <w:lvlText w:val="•"/>
      <w:lvlJc w:val="left"/>
      <w:pPr>
        <w:ind w:left="6690" w:hanging="526"/>
      </w:pPr>
      <w:rPr>
        <w:rFonts w:hint="default"/>
        <w:lang w:val="en-US" w:eastAsia="zh-CN" w:bidi="ar-SA"/>
      </w:rPr>
    </w:lvl>
    <w:lvl w:ilvl="7" w:tentative="0">
      <w:start w:val="0"/>
      <w:numFmt w:val="bullet"/>
      <w:lvlText w:val="•"/>
      <w:lvlJc w:val="left"/>
      <w:pPr>
        <w:ind w:left="7515" w:hanging="526"/>
      </w:pPr>
      <w:rPr>
        <w:rFonts w:hint="default"/>
        <w:lang w:val="en-US" w:eastAsia="zh-CN" w:bidi="ar-SA"/>
      </w:rPr>
    </w:lvl>
    <w:lvl w:ilvl="8" w:tentative="0">
      <w:start w:val="0"/>
      <w:numFmt w:val="bullet"/>
      <w:lvlText w:val="•"/>
      <w:lvlJc w:val="left"/>
      <w:pPr>
        <w:ind w:left="8340" w:hanging="526"/>
      </w:pPr>
      <w:rPr>
        <w:rFonts w:hint="default"/>
        <w:lang w:val="en-US" w:eastAsia="zh-CN" w:bidi="ar-SA"/>
      </w:rPr>
    </w:lvl>
  </w:abstractNum>
  <w:abstractNum w:abstractNumId="23">
    <w:nsid w:val="74885486"/>
    <w:multiLevelType w:val="multilevel"/>
    <w:tmpl w:val="74885486"/>
    <w:lvl w:ilvl="0" w:tentative="0">
      <w:start w:val="1"/>
      <w:numFmt w:val="decimal"/>
      <w:lvlText w:val="%1."/>
      <w:lvlJc w:val="left"/>
      <w:pPr>
        <w:ind w:left="1387"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2241" w:hanging="165"/>
      </w:pPr>
      <w:rPr>
        <w:rFonts w:hint="default"/>
        <w:lang w:val="en-US" w:eastAsia="zh-CN" w:bidi="ar-SA"/>
      </w:rPr>
    </w:lvl>
    <w:lvl w:ilvl="2" w:tentative="0">
      <w:start w:val="0"/>
      <w:numFmt w:val="bullet"/>
      <w:lvlText w:val="•"/>
      <w:lvlJc w:val="left"/>
      <w:pPr>
        <w:ind w:left="3102" w:hanging="165"/>
      </w:pPr>
      <w:rPr>
        <w:rFonts w:hint="default"/>
        <w:lang w:val="en-US" w:eastAsia="zh-CN" w:bidi="ar-SA"/>
      </w:rPr>
    </w:lvl>
    <w:lvl w:ilvl="3" w:tentative="0">
      <w:start w:val="0"/>
      <w:numFmt w:val="bullet"/>
      <w:lvlText w:val="•"/>
      <w:lvlJc w:val="left"/>
      <w:pPr>
        <w:ind w:left="3963" w:hanging="165"/>
      </w:pPr>
      <w:rPr>
        <w:rFonts w:hint="default"/>
        <w:lang w:val="en-US" w:eastAsia="zh-CN" w:bidi="ar-SA"/>
      </w:rPr>
    </w:lvl>
    <w:lvl w:ilvl="4" w:tentative="0">
      <w:start w:val="0"/>
      <w:numFmt w:val="bullet"/>
      <w:lvlText w:val="•"/>
      <w:lvlJc w:val="left"/>
      <w:pPr>
        <w:ind w:left="4824" w:hanging="165"/>
      </w:pPr>
      <w:rPr>
        <w:rFonts w:hint="default"/>
        <w:lang w:val="en-US" w:eastAsia="zh-CN" w:bidi="ar-SA"/>
      </w:rPr>
    </w:lvl>
    <w:lvl w:ilvl="5" w:tentative="0">
      <w:start w:val="0"/>
      <w:numFmt w:val="bullet"/>
      <w:lvlText w:val="•"/>
      <w:lvlJc w:val="left"/>
      <w:pPr>
        <w:ind w:left="5685" w:hanging="165"/>
      </w:pPr>
      <w:rPr>
        <w:rFonts w:hint="default"/>
        <w:lang w:val="en-US" w:eastAsia="zh-CN" w:bidi="ar-SA"/>
      </w:rPr>
    </w:lvl>
    <w:lvl w:ilvl="6" w:tentative="0">
      <w:start w:val="0"/>
      <w:numFmt w:val="bullet"/>
      <w:lvlText w:val="•"/>
      <w:lvlJc w:val="left"/>
      <w:pPr>
        <w:ind w:left="6546" w:hanging="165"/>
      </w:pPr>
      <w:rPr>
        <w:rFonts w:hint="default"/>
        <w:lang w:val="en-US" w:eastAsia="zh-CN" w:bidi="ar-SA"/>
      </w:rPr>
    </w:lvl>
    <w:lvl w:ilvl="7" w:tentative="0">
      <w:start w:val="0"/>
      <w:numFmt w:val="bullet"/>
      <w:lvlText w:val="•"/>
      <w:lvlJc w:val="left"/>
      <w:pPr>
        <w:ind w:left="7407" w:hanging="165"/>
      </w:pPr>
      <w:rPr>
        <w:rFonts w:hint="default"/>
        <w:lang w:val="en-US" w:eastAsia="zh-CN" w:bidi="ar-SA"/>
      </w:rPr>
    </w:lvl>
    <w:lvl w:ilvl="8" w:tentative="0">
      <w:start w:val="0"/>
      <w:numFmt w:val="bullet"/>
      <w:lvlText w:val="•"/>
      <w:lvlJc w:val="left"/>
      <w:pPr>
        <w:ind w:left="8268" w:hanging="165"/>
      </w:pPr>
      <w:rPr>
        <w:rFonts w:hint="default"/>
        <w:lang w:val="en-US" w:eastAsia="zh-CN" w:bidi="ar-SA"/>
      </w:rPr>
    </w:lvl>
  </w:abstractNum>
  <w:num w:numId="1">
    <w:abstractNumId w:val="16"/>
  </w:num>
  <w:num w:numId="2">
    <w:abstractNumId w:val="3"/>
  </w:num>
  <w:num w:numId="3">
    <w:abstractNumId w:val="13"/>
  </w:num>
  <w:num w:numId="4">
    <w:abstractNumId w:val="17"/>
  </w:num>
  <w:num w:numId="5">
    <w:abstractNumId w:val="21"/>
  </w:num>
  <w:num w:numId="6">
    <w:abstractNumId w:val="22"/>
  </w:num>
  <w:num w:numId="7">
    <w:abstractNumId w:val="18"/>
  </w:num>
  <w:num w:numId="8">
    <w:abstractNumId w:val="20"/>
  </w:num>
  <w:num w:numId="9">
    <w:abstractNumId w:val="14"/>
  </w:num>
  <w:num w:numId="10">
    <w:abstractNumId w:val="15"/>
  </w:num>
  <w:num w:numId="11">
    <w:abstractNumId w:val="10"/>
  </w:num>
  <w:num w:numId="12">
    <w:abstractNumId w:val="8"/>
  </w:num>
  <w:num w:numId="13">
    <w:abstractNumId w:val="7"/>
  </w:num>
  <w:num w:numId="14">
    <w:abstractNumId w:val="2"/>
  </w:num>
  <w:num w:numId="15">
    <w:abstractNumId w:val="5"/>
  </w:num>
  <w:num w:numId="16">
    <w:abstractNumId w:val="0"/>
  </w:num>
  <w:num w:numId="17">
    <w:abstractNumId w:val="1"/>
  </w:num>
  <w:num w:numId="18">
    <w:abstractNumId w:val="12"/>
  </w:num>
  <w:num w:numId="19">
    <w:abstractNumId w:val="19"/>
  </w:num>
  <w:num w:numId="20">
    <w:abstractNumId w:val="4"/>
  </w:num>
  <w:num w:numId="21">
    <w:abstractNumId w:val="23"/>
  </w:num>
  <w:num w:numId="22">
    <w:abstractNumId w:val="9"/>
  </w:num>
  <w:num w:numId="23">
    <w:abstractNumId w:val="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470E1B"/>
    <w:rsid w:val="03D04CE1"/>
    <w:rsid w:val="04E3371F"/>
    <w:rsid w:val="06F63BC2"/>
    <w:rsid w:val="07CD2918"/>
    <w:rsid w:val="09E275AA"/>
    <w:rsid w:val="0C5148C6"/>
    <w:rsid w:val="0CED37F8"/>
    <w:rsid w:val="0D8A6388"/>
    <w:rsid w:val="0DA11A33"/>
    <w:rsid w:val="12642A56"/>
    <w:rsid w:val="14CE3CF3"/>
    <w:rsid w:val="161E52F6"/>
    <w:rsid w:val="182A7068"/>
    <w:rsid w:val="18E22826"/>
    <w:rsid w:val="19F273D1"/>
    <w:rsid w:val="1B6B3879"/>
    <w:rsid w:val="1D2C040B"/>
    <w:rsid w:val="1D8F696B"/>
    <w:rsid w:val="1F127AB2"/>
    <w:rsid w:val="200C29D0"/>
    <w:rsid w:val="20D9272F"/>
    <w:rsid w:val="217052C8"/>
    <w:rsid w:val="23654C8C"/>
    <w:rsid w:val="23AD1767"/>
    <w:rsid w:val="241E5CD3"/>
    <w:rsid w:val="2573656A"/>
    <w:rsid w:val="25F130DD"/>
    <w:rsid w:val="27732D38"/>
    <w:rsid w:val="2A311102"/>
    <w:rsid w:val="2B9C140B"/>
    <w:rsid w:val="2D6D6A7E"/>
    <w:rsid w:val="2E69518B"/>
    <w:rsid w:val="2E993331"/>
    <w:rsid w:val="2F1E10A7"/>
    <w:rsid w:val="2F470E1B"/>
    <w:rsid w:val="33370000"/>
    <w:rsid w:val="36490793"/>
    <w:rsid w:val="367D3B40"/>
    <w:rsid w:val="36DB5CA6"/>
    <w:rsid w:val="37475451"/>
    <w:rsid w:val="39C8651B"/>
    <w:rsid w:val="3A571BFF"/>
    <w:rsid w:val="400C5122"/>
    <w:rsid w:val="415F05AE"/>
    <w:rsid w:val="43A16430"/>
    <w:rsid w:val="4495178A"/>
    <w:rsid w:val="4AA01632"/>
    <w:rsid w:val="4AF373AE"/>
    <w:rsid w:val="4B0D5A29"/>
    <w:rsid w:val="4C0F58B6"/>
    <w:rsid w:val="4C2F1001"/>
    <w:rsid w:val="4DB90B5F"/>
    <w:rsid w:val="50AC04E9"/>
    <w:rsid w:val="53D2567F"/>
    <w:rsid w:val="55CB08EB"/>
    <w:rsid w:val="560F0970"/>
    <w:rsid w:val="57313CE2"/>
    <w:rsid w:val="59D96847"/>
    <w:rsid w:val="5A7251FE"/>
    <w:rsid w:val="5F8351CE"/>
    <w:rsid w:val="600E23C9"/>
    <w:rsid w:val="61C6785C"/>
    <w:rsid w:val="63693845"/>
    <w:rsid w:val="64C34E92"/>
    <w:rsid w:val="65CC6D8F"/>
    <w:rsid w:val="663A431B"/>
    <w:rsid w:val="664322AB"/>
    <w:rsid w:val="6739149C"/>
    <w:rsid w:val="67C2308B"/>
    <w:rsid w:val="68EB3277"/>
    <w:rsid w:val="68F023FB"/>
    <w:rsid w:val="6A410F96"/>
    <w:rsid w:val="6BDB5BF1"/>
    <w:rsid w:val="6CAC2801"/>
    <w:rsid w:val="6CD053C2"/>
    <w:rsid w:val="70657B13"/>
    <w:rsid w:val="72D773C2"/>
    <w:rsid w:val="736B0E35"/>
    <w:rsid w:val="73E50788"/>
    <w:rsid w:val="78D96CD3"/>
    <w:rsid w:val="7A652B98"/>
    <w:rsid w:val="7A795A34"/>
    <w:rsid w:val="7B99614F"/>
    <w:rsid w:val="7BAE6E9F"/>
    <w:rsid w:val="7F70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iPriority="99"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val="0"/>
      <w:keepLines w:val="0"/>
      <w:spacing w:before="340" w:after="330" w:line="576" w:lineRule="auto"/>
      <w:ind w:firstLine="0" w:firstLineChars="0"/>
      <w:jc w:val="center"/>
      <w:outlineLvl w:val="0"/>
    </w:pPr>
    <w:rPr>
      <w:b/>
      <w:bCs/>
      <w:kern w:val="44"/>
      <w:sz w:val="44"/>
      <w:szCs w:val="44"/>
    </w:rPr>
  </w:style>
  <w:style w:type="paragraph" w:styleId="3">
    <w:name w:val="heading 2"/>
    <w:basedOn w:val="1"/>
    <w:next w:val="1"/>
    <w:qFormat/>
    <w:uiPriority w:val="0"/>
    <w:pPr>
      <w:keepNext w:val="0"/>
      <w:keepLines w:val="0"/>
      <w:spacing w:before="260" w:after="260" w:line="413" w:lineRule="auto"/>
      <w:ind w:firstLine="0" w:firstLineChars="0"/>
      <w:outlineLvl w:val="1"/>
    </w:pPr>
    <w:rPr>
      <w:rFonts w:eastAsia="黑体"/>
      <w:b/>
      <w:sz w:val="32"/>
      <w:szCs w:val="32"/>
    </w:rPr>
  </w:style>
  <w:style w:type="paragraph" w:styleId="4">
    <w:name w:val="heading 3"/>
    <w:basedOn w:val="1"/>
    <w:next w:val="1"/>
    <w:qFormat/>
    <w:uiPriority w:val="0"/>
    <w:pPr>
      <w:keepNext w:val="0"/>
      <w:keepLines w:val="0"/>
      <w:spacing w:before="260" w:after="260" w:line="413" w:lineRule="auto"/>
      <w:ind w:firstLine="0" w:firstLineChars="0"/>
      <w:outlineLvl w:val="2"/>
    </w:pPr>
    <w:rPr>
      <w:rFonts w:eastAsia="黑体"/>
      <w:bCs/>
      <w:sz w:val="28"/>
      <w:szCs w:val="32"/>
    </w:rPr>
  </w:style>
  <w:style w:type="paragraph" w:styleId="5">
    <w:name w:val="heading 4"/>
    <w:basedOn w:val="1"/>
    <w:next w:val="6"/>
    <w:qFormat/>
    <w:uiPriority w:val="0"/>
    <w:pPr>
      <w:keepNext w:val="0"/>
      <w:keepLines w:val="0"/>
      <w:spacing w:before="280" w:after="290" w:line="375" w:lineRule="auto"/>
      <w:ind w:firstLine="0" w:firstLineChars="0"/>
      <w:outlineLvl w:val="3"/>
    </w:pPr>
    <w:rPr>
      <w:rFonts w:eastAsia="黑体"/>
      <w:bCs/>
      <w:sz w:val="28"/>
      <w:szCs w:val="28"/>
    </w:rPr>
  </w:style>
  <w:style w:type="paragraph" w:styleId="7">
    <w:name w:val="heading 5"/>
    <w:basedOn w:val="1"/>
    <w:next w:val="1"/>
    <w:qFormat/>
    <w:uiPriority w:val="1"/>
    <w:pPr>
      <w:ind w:right="78"/>
      <w:jc w:val="center"/>
      <w:outlineLvl w:val="5"/>
    </w:pPr>
    <w:rPr>
      <w:rFonts w:ascii="宋体" w:hAnsi="宋体" w:eastAsia="宋体" w:cs="宋体"/>
      <w:sz w:val="28"/>
      <w:szCs w:val="28"/>
      <w:lang w:val="en-US" w:eastAsia="zh-CN" w:bidi="ar-SA"/>
    </w:rPr>
  </w:style>
  <w:style w:type="character" w:default="1" w:styleId="25">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szCs w:val="24"/>
    </w:rPr>
  </w:style>
  <w:style w:type="paragraph" w:styleId="8">
    <w:name w:val="index 8"/>
    <w:basedOn w:val="1"/>
    <w:next w:val="1"/>
    <w:unhideWhenUsed/>
    <w:qFormat/>
    <w:uiPriority w:val="99"/>
    <w:pPr>
      <w:ind w:left="1400" w:leftChars="1400"/>
    </w:pPr>
    <w:rPr>
      <w:rFonts w:ascii="Calibri" w:hAnsi="Calibri"/>
    </w:rPr>
  </w:style>
  <w:style w:type="paragraph" w:styleId="9">
    <w:name w:val="annotation text"/>
    <w:basedOn w:val="1"/>
    <w:qFormat/>
    <w:uiPriority w:val="0"/>
    <w:pPr>
      <w:jc w:val="left"/>
    </w:pPr>
  </w:style>
  <w:style w:type="paragraph" w:styleId="10">
    <w:name w:val="Body Text"/>
    <w:basedOn w:val="1"/>
    <w:qFormat/>
    <w:uiPriority w:val="1"/>
    <w:rPr>
      <w:rFonts w:ascii="宋体" w:hAnsi="宋体" w:eastAsia="宋体" w:cs="宋体"/>
      <w:sz w:val="24"/>
      <w:szCs w:val="24"/>
      <w:lang w:val="en-US" w:eastAsia="zh-CN" w:bidi="ar-SA"/>
    </w:rPr>
  </w:style>
  <w:style w:type="paragraph" w:styleId="11">
    <w:name w:val="Body Text Indent"/>
    <w:basedOn w:val="1"/>
    <w:next w:val="12"/>
    <w:qFormat/>
    <w:uiPriority w:val="0"/>
    <w:pPr>
      <w:spacing w:after="120" w:line="240" w:lineRule="auto"/>
      <w:ind w:left="420" w:leftChars="200" w:firstLine="0" w:firstLineChars="0"/>
    </w:pPr>
    <w:rPr>
      <w:rFonts w:ascii="Times New Roman" w:hAnsi="Times New Roman"/>
      <w:sz w:val="21"/>
    </w:rPr>
  </w:style>
  <w:style w:type="paragraph" w:styleId="12">
    <w:name w:val="envelope return"/>
    <w:basedOn w:val="13"/>
    <w:qFormat/>
    <w:uiPriority w:val="99"/>
    <w:pPr>
      <w:snapToGrid w:val="0"/>
    </w:pPr>
    <w:rPr>
      <w:rFonts w:ascii="Arial" w:hAnsi="Arial"/>
    </w:rPr>
  </w:style>
  <w:style w:type="paragraph" w:customStyle="1" w:styleId="13">
    <w:name w:val="Normal_4"/>
    <w:next w:val="14"/>
    <w:qFormat/>
    <w:uiPriority w:val="0"/>
    <w:pPr>
      <w:widowControl w:val="0"/>
      <w:jc w:val="both"/>
    </w:pPr>
    <w:rPr>
      <w:rFonts w:ascii="Calibri" w:hAnsi="Calibri" w:eastAsia="宋体" w:cs="Times New Roman"/>
      <w:kern w:val="2"/>
      <w:sz w:val="21"/>
      <w:szCs w:val="22"/>
      <w:lang w:bidi="ar-SA"/>
    </w:rPr>
  </w:style>
  <w:style w:type="paragraph" w:customStyle="1" w:styleId="14">
    <w:name w:val="Index 8_0"/>
    <w:basedOn w:val="15"/>
    <w:next w:val="15"/>
    <w:unhideWhenUsed/>
    <w:qFormat/>
    <w:uiPriority w:val="99"/>
    <w:pPr>
      <w:ind w:left="1400" w:leftChars="1400"/>
    </w:pPr>
  </w:style>
  <w:style w:type="paragraph" w:customStyle="1" w:styleId="15">
    <w:name w:val="Normal_1_1"/>
    <w:qFormat/>
    <w:uiPriority w:val="0"/>
    <w:rPr>
      <w:rFonts w:ascii="Times New Roman" w:hAnsi="Times New Roman" w:eastAsia="Times New Roman" w:cs="Times New Roman"/>
      <w:sz w:val="24"/>
      <w:szCs w:val="24"/>
      <w:lang w:bidi="ar-SA"/>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Body Text First Indent"/>
    <w:basedOn w:val="19"/>
    <w:qFormat/>
    <w:uiPriority w:val="0"/>
    <w:pPr>
      <w:ind w:firstLine="420" w:firstLineChars="100"/>
    </w:pPr>
    <w:rPr>
      <w:szCs w:val="22"/>
    </w:rPr>
  </w:style>
  <w:style w:type="paragraph" w:customStyle="1" w:styleId="19">
    <w:name w:val="正文文本1"/>
    <w:basedOn w:val="20"/>
    <w:next w:val="20"/>
    <w:qFormat/>
    <w:uiPriority w:val="0"/>
    <w:pPr>
      <w:spacing w:after="120"/>
    </w:pPr>
    <w:rPr>
      <w:szCs w:val="24"/>
    </w:rPr>
  </w:style>
  <w:style w:type="paragraph" w:customStyle="1" w:styleId="20">
    <w:name w:val="Normal_2"/>
    <w:next w:val="21"/>
    <w:qFormat/>
    <w:uiPriority w:val="0"/>
    <w:rPr>
      <w:rFonts w:ascii="Times New Roman" w:hAnsi="Times New Roman" w:eastAsia="Times New Roman" w:cs="Times New Roman"/>
      <w:sz w:val="24"/>
      <w:szCs w:val="24"/>
      <w:lang w:bidi="ar-SA"/>
    </w:rPr>
  </w:style>
  <w:style w:type="paragraph" w:customStyle="1" w:styleId="21">
    <w:name w:val="正文文本缩进1"/>
    <w:basedOn w:val="20"/>
    <w:next w:val="12"/>
    <w:qFormat/>
    <w:uiPriority w:val="0"/>
    <w:pPr>
      <w:spacing w:after="120"/>
      <w:ind w:left="420" w:leftChars="200"/>
    </w:pPr>
    <w:rPr>
      <w:szCs w:val="24"/>
    </w:rPr>
  </w:style>
  <w:style w:type="paragraph" w:styleId="22">
    <w:name w:val="Body Text First Indent 2"/>
    <w:basedOn w:val="11"/>
    <w:next w:val="23"/>
    <w:qFormat/>
    <w:uiPriority w:val="0"/>
    <w:pPr>
      <w:ind w:firstLine="420" w:firstLineChars="200"/>
    </w:pPr>
    <w:rPr>
      <w:szCs w:val="24"/>
    </w:rPr>
  </w:style>
  <w:style w:type="paragraph" w:customStyle="1" w:styleId="23">
    <w:name w:val="无格式"/>
    <w:basedOn w:val="1"/>
    <w:qFormat/>
    <w:uiPriority w:val="0"/>
    <w:pPr>
      <w:widowControl/>
      <w:spacing w:line="240" w:lineRule="auto"/>
      <w:ind w:firstLine="0" w:firstLineChars="0"/>
    </w:pPr>
    <w:rPr>
      <w:kern w:val="0"/>
    </w:rPr>
  </w:style>
  <w:style w:type="character" w:styleId="26">
    <w:name w:val="page number"/>
    <w:qFormat/>
    <w:uiPriority w:val="0"/>
  </w:style>
  <w:style w:type="character" w:styleId="27">
    <w:name w:val="Hyperlink"/>
    <w:qFormat/>
    <w:uiPriority w:val="99"/>
    <w:rPr>
      <w:color w:val="0000FF"/>
      <w:u w:val="single"/>
    </w:rPr>
  </w:style>
  <w:style w:type="paragraph" w:customStyle="1" w:styleId="28">
    <w:name w:val="WPSOffice手动目录 1"/>
    <w:qFormat/>
    <w:uiPriority w:val="0"/>
    <w:pPr>
      <w:ind w:leftChars="0"/>
    </w:pPr>
    <w:rPr>
      <w:rFonts w:ascii="Times New Roman" w:hAnsi="Times New Roman" w:eastAsia="宋体" w:cs="Times New Roman"/>
      <w:sz w:val="20"/>
      <w:szCs w:val="20"/>
    </w:rPr>
  </w:style>
  <w:style w:type="paragraph" w:customStyle="1" w:styleId="29">
    <w:name w:val="图表a"/>
    <w:basedOn w:val="1"/>
    <w:qFormat/>
    <w:uiPriority w:val="0"/>
    <w:pPr>
      <w:spacing w:line="440" w:lineRule="exact"/>
      <w:ind w:firstLine="0" w:firstLineChars="0"/>
      <w:jc w:val="center"/>
    </w:pPr>
    <w:rPr>
      <w:szCs w:val="21"/>
    </w:rPr>
  </w:style>
  <w:style w:type="paragraph" w:customStyle="1" w:styleId="30">
    <w:name w:val="样式 标题 3 + (中文) 黑体 小四 非加粗 段前: 7.8 磅 段后: 0 磅 行距: 固定值 20 磅"/>
    <w:basedOn w:val="4"/>
    <w:qFormat/>
    <w:uiPriority w:val="0"/>
    <w:pPr>
      <w:spacing w:before="0" w:after="0" w:line="400" w:lineRule="exact"/>
    </w:pPr>
    <w:rPr>
      <w:rFonts w:eastAsia="黑体" w:cs="宋体"/>
      <w:b/>
      <w:bCs w:val="0"/>
      <w:sz w:val="24"/>
      <w:szCs w:val="20"/>
    </w:rPr>
  </w:style>
  <w:style w:type="paragraph" w:customStyle="1" w:styleId="31">
    <w:name w:val="Normal_3"/>
    <w:qFormat/>
    <w:uiPriority w:val="0"/>
    <w:rPr>
      <w:rFonts w:ascii="Times New Roman" w:hAnsi="Times New Roman" w:eastAsia="Times New Roman" w:cs="Times New Roman"/>
      <w:sz w:val="24"/>
      <w:szCs w:val="24"/>
      <w:lang w:bidi="ar-SA"/>
    </w:rPr>
  </w:style>
  <w:style w:type="paragraph" w:customStyle="1" w:styleId="32">
    <w:name w:val="Normal_5"/>
    <w:qFormat/>
    <w:uiPriority w:val="0"/>
    <w:rPr>
      <w:rFonts w:ascii="Times New Roman" w:hAnsi="Times New Roman" w:eastAsia="Times New Roman" w:cs="Times New Roman"/>
      <w:sz w:val="24"/>
      <w:szCs w:val="24"/>
      <w:lang w:bidi="ar-SA"/>
    </w:rPr>
  </w:style>
  <w:style w:type="paragraph" w:customStyle="1" w:styleId="33">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
    <w:name w:val="Normal_0"/>
    <w:qFormat/>
    <w:uiPriority w:val="0"/>
    <w:pPr>
      <w:widowControl w:val="0"/>
      <w:jc w:val="both"/>
    </w:pPr>
    <w:rPr>
      <w:rFonts w:ascii="Calibri" w:hAnsi="Calibri" w:eastAsia="宋体" w:cs="Times New Roman"/>
      <w:lang w:val="en-US" w:eastAsia="zh-CN" w:bidi="ar-SA"/>
    </w:rPr>
  </w:style>
  <w:style w:type="paragraph" w:customStyle="1" w:styleId="37">
    <w:name w:val="Table Paragraph"/>
    <w:basedOn w:val="34"/>
    <w:qFormat/>
    <w:uiPriority w:val="0"/>
    <w:rPr>
      <w:rFonts w:ascii="Times New Roman" w:hAnsi="Times New Roman"/>
      <w:sz w:val="24"/>
    </w:rPr>
  </w:style>
  <w:style w:type="paragraph" w:customStyle="1" w:styleId="38">
    <w:name w:val="Normal_0_1"/>
    <w:qFormat/>
    <w:uiPriority w:val="0"/>
    <w:rPr>
      <w:rFonts w:ascii="Times New Roman" w:hAnsi="Times New Roman" w:eastAsia="Times New Roman" w:cs="Times New Roman"/>
      <w:sz w:val="24"/>
      <w:szCs w:val="24"/>
      <w:lang w:bidi="ar-SA"/>
    </w:rPr>
  </w:style>
  <w:style w:type="paragraph" w:customStyle="1" w:styleId="39">
    <w:name w:val="Normal_39"/>
    <w:qFormat/>
    <w:uiPriority w:val="0"/>
    <w:rPr>
      <w:rFonts w:ascii="Times New Roman" w:hAnsi="Times New Roman" w:eastAsia="Times New Roman" w:cs="Times New Roman"/>
      <w:sz w:val="24"/>
      <w:szCs w:val="24"/>
      <w:lang w:bidi="ar-SA"/>
    </w:rPr>
  </w:style>
  <w:style w:type="paragraph" w:customStyle="1" w:styleId="40">
    <w:name w:val="Normal_0_0"/>
    <w:qFormat/>
    <w:uiPriority w:val="0"/>
    <w:rPr>
      <w:rFonts w:ascii="Times New Roman" w:hAnsi="Times New Roman" w:eastAsia="Times New Roman" w:cs="Times New Roman"/>
      <w:sz w:val="24"/>
      <w:szCs w:val="24"/>
      <w:lang w:bidi="ar-SA"/>
    </w:rPr>
  </w:style>
  <w:style w:type="paragraph" w:customStyle="1" w:styleId="41">
    <w:name w:val="Normal_1_0"/>
    <w:qFormat/>
    <w:uiPriority w:val="0"/>
    <w:rPr>
      <w:rFonts w:ascii="Times New Roman" w:hAnsi="Times New Roman" w:eastAsia="Times New Roman" w:cs="Times New Roman"/>
      <w:sz w:val="24"/>
      <w:szCs w:val="24"/>
      <w:lang w:bidi="ar-SA"/>
    </w:rPr>
  </w:style>
  <w:style w:type="paragraph" w:customStyle="1" w:styleId="42">
    <w:name w:val="Normal_2_0"/>
    <w:qFormat/>
    <w:uiPriority w:val="0"/>
    <w:pPr>
      <w:widowControl w:val="0"/>
      <w:jc w:val="both"/>
    </w:pPr>
    <w:rPr>
      <w:rFonts w:ascii="Calibri" w:hAnsi="Calibri" w:eastAsia="宋体" w:cs="Times New Roman"/>
      <w:kern w:val="2"/>
      <w:sz w:val="21"/>
      <w:szCs w:val="22"/>
      <w:lang w:bidi="ar-SA"/>
    </w:rPr>
  </w:style>
  <w:style w:type="paragraph" w:customStyle="1" w:styleId="43">
    <w:name w:val="Normal_3_0"/>
    <w:qFormat/>
    <w:uiPriority w:val="0"/>
    <w:rPr>
      <w:rFonts w:ascii="Times New Roman" w:hAnsi="Times New Roman" w:eastAsia="Times New Roman" w:cs="Times New Roman"/>
      <w:sz w:val="24"/>
      <w:szCs w:val="24"/>
      <w:lang w:bidi="ar-SA"/>
    </w:rPr>
  </w:style>
  <w:style w:type="paragraph" w:customStyle="1" w:styleId="44">
    <w:name w:val="Normal_6"/>
    <w:qFormat/>
    <w:uiPriority w:val="0"/>
    <w:pPr>
      <w:widowControl w:val="0"/>
      <w:jc w:val="both"/>
    </w:pPr>
    <w:rPr>
      <w:rFonts w:ascii="Calibri" w:hAnsi="Calibri" w:eastAsia="宋体" w:cs="Times New Roman"/>
      <w:kern w:val="2"/>
      <w:sz w:val="21"/>
      <w:szCs w:val="22"/>
      <w:lang w:bidi="ar-SA"/>
    </w:rPr>
  </w:style>
  <w:style w:type="paragraph" w:customStyle="1" w:styleId="45">
    <w:name w:val="Normal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Normal_7"/>
    <w:qFormat/>
    <w:uiPriority w:val="0"/>
    <w:rPr>
      <w:rFonts w:ascii="Times New Roman" w:hAnsi="Times New Roman" w:eastAsia="Times New Roman" w:cs="Times New Roman"/>
      <w:sz w:val="24"/>
      <w:szCs w:val="24"/>
      <w:lang w:bidi="ar-SA"/>
    </w:rPr>
  </w:style>
  <w:style w:type="paragraph" w:customStyle="1" w:styleId="47">
    <w:name w:val="Normal_8"/>
    <w:qFormat/>
    <w:uiPriority w:val="0"/>
    <w:pPr>
      <w:widowControl w:val="0"/>
      <w:jc w:val="both"/>
    </w:pPr>
    <w:rPr>
      <w:rFonts w:ascii="Times New Roman" w:hAnsi="Times New Roman" w:eastAsia="宋体" w:cs="Times New Roman"/>
      <w:kern w:val="2"/>
      <w:sz w:val="24"/>
      <w:szCs w:val="24"/>
      <w:lang w:val="en-US" w:eastAsia="zh-CN" w:bidi="ar-SA"/>
    </w:rPr>
  </w:style>
  <w:style w:type="paragraph" w:customStyle="1" w:styleId="48">
    <w:name w:val="Normal_9_0"/>
    <w:qFormat/>
    <w:uiPriority w:val="0"/>
    <w:rPr>
      <w:rFonts w:ascii="Times New Roman" w:hAnsi="Times New Roman" w:eastAsia="Times New Roman" w:cs="Times New Roman"/>
      <w:sz w:val="24"/>
      <w:szCs w:val="24"/>
      <w:lang w:bidi="ar-SA"/>
    </w:rPr>
  </w:style>
  <w:style w:type="paragraph" w:customStyle="1" w:styleId="49">
    <w:name w:val="Normal_10"/>
    <w:qFormat/>
    <w:uiPriority w:val="0"/>
    <w:pPr>
      <w:widowControl w:val="0"/>
      <w:jc w:val="both"/>
    </w:pPr>
    <w:rPr>
      <w:rFonts w:ascii="Calibri" w:hAnsi="Calibri" w:eastAsia="宋体" w:cs="Times New Roman"/>
      <w:kern w:val="2"/>
      <w:sz w:val="21"/>
      <w:szCs w:val="22"/>
      <w:lang w:bidi="ar-SA"/>
    </w:rPr>
  </w:style>
  <w:style w:type="paragraph" w:customStyle="1" w:styleId="50">
    <w:name w:val="正文_5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Normal_11"/>
    <w:qFormat/>
    <w:uiPriority w:val="0"/>
    <w:rPr>
      <w:rFonts w:ascii="Times New Roman" w:hAnsi="Times New Roman" w:eastAsia="Times New Roman" w:cs="Times New Roman"/>
      <w:sz w:val="24"/>
      <w:szCs w:val="24"/>
      <w:lang w:bidi="ar-SA"/>
    </w:rPr>
  </w:style>
  <w:style w:type="paragraph" w:customStyle="1" w:styleId="52">
    <w:name w:val="Normal_13"/>
    <w:qFormat/>
    <w:uiPriority w:val="0"/>
    <w:rPr>
      <w:rFonts w:ascii="Times New Roman" w:hAnsi="Times New Roman" w:eastAsia="Times New Roman" w:cs="Times New Roman"/>
      <w:sz w:val="24"/>
      <w:szCs w:val="24"/>
      <w:lang w:bidi="ar-SA"/>
    </w:rPr>
  </w:style>
  <w:style w:type="paragraph" w:customStyle="1" w:styleId="53">
    <w:name w:val="Normal_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54">
    <w:name w:val="Normal_15"/>
    <w:qFormat/>
    <w:uiPriority w:val="0"/>
    <w:rPr>
      <w:rFonts w:ascii="Times New Roman" w:hAnsi="Times New Roman" w:eastAsia="Times New Roman" w:cs="Times New Roman"/>
      <w:sz w:val="24"/>
      <w:szCs w:val="24"/>
      <w:lang w:bidi="ar-SA"/>
    </w:rPr>
  </w:style>
  <w:style w:type="paragraph" w:customStyle="1" w:styleId="55">
    <w:name w:val="Normal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56">
    <w:name w:val="Normal_17"/>
    <w:qFormat/>
    <w:uiPriority w:val="0"/>
    <w:rPr>
      <w:rFonts w:ascii="Times New Roman" w:hAnsi="Times New Roman" w:eastAsia="Times New Roman" w:cs="Times New Roman"/>
      <w:sz w:val="24"/>
      <w:szCs w:val="24"/>
      <w:lang w:bidi="ar-SA"/>
    </w:rPr>
  </w:style>
  <w:style w:type="paragraph" w:customStyle="1" w:styleId="57">
    <w:name w:val="Normal_21"/>
    <w:qFormat/>
    <w:uiPriority w:val="0"/>
    <w:pPr>
      <w:widowControl w:val="0"/>
      <w:jc w:val="both"/>
    </w:pPr>
    <w:rPr>
      <w:rFonts w:ascii="Calibri" w:hAnsi="Calibri" w:eastAsia="宋体" w:cs="Times New Roman"/>
      <w:kern w:val="2"/>
      <w:sz w:val="21"/>
      <w:szCs w:val="22"/>
      <w:lang w:bidi="ar-SA"/>
    </w:rPr>
  </w:style>
  <w:style w:type="paragraph" w:customStyle="1" w:styleId="58">
    <w:name w:val="Normal_19"/>
    <w:qFormat/>
    <w:uiPriority w:val="0"/>
    <w:rPr>
      <w:rFonts w:ascii="Times New Roman" w:hAnsi="Times New Roman" w:eastAsia="Times New Roman" w:cs="Times New Roman"/>
      <w:sz w:val="24"/>
      <w:szCs w:val="24"/>
      <w:lang w:bidi="ar-SA"/>
    </w:rPr>
  </w:style>
  <w:style w:type="paragraph" w:customStyle="1" w:styleId="59">
    <w:name w:val="Normal_20"/>
    <w:qFormat/>
    <w:uiPriority w:val="0"/>
    <w:rPr>
      <w:rFonts w:ascii="Times New Roman" w:hAnsi="Times New Roman" w:eastAsia="Times New Roman" w:cs="Times New Roman"/>
      <w:sz w:val="24"/>
      <w:szCs w:val="24"/>
      <w:lang w:bidi="ar-SA"/>
    </w:rPr>
  </w:style>
  <w:style w:type="paragraph" w:customStyle="1" w:styleId="60">
    <w:name w:val="Normal_23"/>
    <w:qFormat/>
    <w:uiPriority w:val="0"/>
    <w:pPr>
      <w:widowControl w:val="0"/>
      <w:jc w:val="both"/>
    </w:pPr>
    <w:rPr>
      <w:rFonts w:ascii="Calibri" w:hAnsi="Calibri" w:eastAsia="宋体" w:cs="Times New Roman"/>
      <w:kern w:val="2"/>
      <w:sz w:val="21"/>
      <w:szCs w:val="22"/>
      <w:lang w:bidi="ar-SA"/>
    </w:rPr>
  </w:style>
  <w:style w:type="paragraph" w:customStyle="1" w:styleId="61">
    <w:name w:val="Normal_24"/>
    <w:qFormat/>
    <w:uiPriority w:val="0"/>
    <w:rPr>
      <w:rFonts w:ascii="Times New Roman" w:hAnsi="Times New Roman" w:eastAsia="Times New Roman" w:cs="Times New Roman"/>
      <w:sz w:val="24"/>
      <w:szCs w:val="24"/>
      <w:lang w:bidi="ar-SA"/>
    </w:rPr>
  </w:style>
  <w:style w:type="paragraph" w:customStyle="1" w:styleId="62">
    <w:name w:val="Normal_25"/>
    <w:qFormat/>
    <w:uiPriority w:val="0"/>
    <w:pPr>
      <w:widowControl w:val="0"/>
      <w:jc w:val="both"/>
    </w:pPr>
    <w:rPr>
      <w:rFonts w:ascii="Calibri" w:hAnsi="Calibri" w:eastAsia="宋体" w:cs="Times New Roman"/>
      <w:kern w:val="2"/>
      <w:sz w:val="21"/>
      <w:szCs w:val="22"/>
      <w:lang w:bidi="ar-SA"/>
    </w:rPr>
  </w:style>
  <w:style w:type="paragraph" w:customStyle="1" w:styleId="63">
    <w:name w:val="Normal_26"/>
    <w:qFormat/>
    <w:uiPriority w:val="0"/>
    <w:rPr>
      <w:rFonts w:ascii="Times New Roman" w:hAnsi="Times New Roman" w:eastAsia="Times New Roman" w:cs="Times New Roman"/>
      <w:sz w:val="24"/>
      <w:szCs w:val="24"/>
      <w:lang w:bidi="ar-SA"/>
    </w:rPr>
  </w:style>
  <w:style w:type="paragraph" w:customStyle="1" w:styleId="64">
    <w:name w:val="Normal_28"/>
    <w:qFormat/>
    <w:uiPriority w:val="0"/>
    <w:rPr>
      <w:rFonts w:ascii="Times New Roman" w:hAnsi="Times New Roman" w:eastAsia="Times New Roman" w:cs="Times New Roman"/>
      <w:sz w:val="24"/>
      <w:szCs w:val="24"/>
      <w:lang w:bidi="ar-SA"/>
    </w:rPr>
  </w:style>
  <w:style w:type="paragraph" w:customStyle="1" w:styleId="65">
    <w:name w:val="Normal_30"/>
    <w:qFormat/>
    <w:uiPriority w:val="0"/>
    <w:rPr>
      <w:rFonts w:ascii="Times New Roman" w:hAnsi="Times New Roman" w:eastAsia="Times New Roman" w:cs="Times New Roman"/>
      <w:sz w:val="24"/>
      <w:szCs w:val="24"/>
      <w:lang w:bidi="ar-SA"/>
    </w:rPr>
  </w:style>
  <w:style w:type="paragraph" w:customStyle="1" w:styleId="66">
    <w:name w:val="Normal_31"/>
    <w:qFormat/>
    <w:uiPriority w:val="0"/>
    <w:pPr>
      <w:widowControl w:val="0"/>
      <w:jc w:val="both"/>
    </w:pPr>
    <w:rPr>
      <w:rFonts w:ascii="Calibri" w:hAnsi="Calibri" w:eastAsia="宋体" w:cs="Times New Roman"/>
      <w:kern w:val="2"/>
      <w:sz w:val="21"/>
      <w:szCs w:val="22"/>
      <w:lang w:bidi="ar-SA"/>
    </w:rPr>
  </w:style>
  <w:style w:type="paragraph" w:customStyle="1" w:styleId="67">
    <w:name w:val="Normal_32"/>
    <w:qFormat/>
    <w:uiPriority w:val="0"/>
    <w:rPr>
      <w:rFonts w:ascii="Times New Roman" w:hAnsi="Times New Roman" w:eastAsia="Times New Roman" w:cs="Times New Roman"/>
      <w:sz w:val="24"/>
      <w:szCs w:val="24"/>
      <w:lang w:bidi="ar-SA"/>
    </w:rPr>
  </w:style>
  <w:style w:type="paragraph" w:customStyle="1" w:styleId="68">
    <w:name w:val="Normal_33"/>
    <w:qFormat/>
    <w:uiPriority w:val="0"/>
    <w:pPr>
      <w:widowControl w:val="0"/>
      <w:jc w:val="both"/>
    </w:pPr>
    <w:rPr>
      <w:rFonts w:ascii="Calibri" w:hAnsi="Calibri" w:eastAsia="宋体" w:cs="Times New Roman"/>
      <w:kern w:val="2"/>
      <w:sz w:val="21"/>
      <w:szCs w:val="22"/>
      <w:lang w:bidi="ar-SA"/>
    </w:rPr>
  </w:style>
  <w:style w:type="paragraph" w:customStyle="1" w:styleId="69">
    <w:name w:val="Normal_34"/>
    <w:qFormat/>
    <w:uiPriority w:val="0"/>
    <w:rPr>
      <w:rFonts w:ascii="Times New Roman" w:hAnsi="Times New Roman" w:eastAsia="Times New Roman" w:cs="Times New Roman"/>
      <w:sz w:val="24"/>
      <w:szCs w:val="24"/>
      <w:lang w:bidi="ar-SA"/>
    </w:rPr>
  </w:style>
  <w:style w:type="paragraph" w:customStyle="1" w:styleId="70">
    <w:name w:val="Normal_35"/>
    <w:qFormat/>
    <w:uiPriority w:val="0"/>
    <w:pPr>
      <w:widowControl w:val="0"/>
      <w:jc w:val="both"/>
    </w:pPr>
    <w:rPr>
      <w:rFonts w:ascii="Calibri" w:hAnsi="Calibri" w:eastAsia="宋体" w:cs="Times New Roman"/>
      <w:kern w:val="2"/>
      <w:sz w:val="21"/>
      <w:szCs w:val="22"/>
      <w:lang w:bidi="ar-SA"/>
    </w:rPr>
  </w:style>
  <w:style w:type="paragraph" w:customStyle="1" w:styleId="71">
    <w:name w:val="正文_1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2">
    <w:name w:val="Normal_36"/>
    <w:qFormat/>
    <w:uiPriority w:val="0"/>
    <w:rPr>
      <w:rFonts w:ascii="Times New Roman" w:hAnsi="Times New Roman" w:eastAsia="Times New Roman" w:cs="Times New Roman"/>
      <w:sz w:val="24"/>
      <w:szCs w:val="24"/>
      <w:lang w:bidi="ar-SA"/>
    </w:rPr>
  </w:style>
  <w:style w:type="paragraph" w:customStyle="1" w:styleId="73">
    <w:name w:val="Normal_37"/>
    <w:qFormat/>
    <w:uiPriority w:val="0"/>
    <w:pPr>
      <w:widowControl w:val="0"/>
      <w:jc w:val="both"/>
    </w:pPr>
    <w:rPr>
      <w:rFonts w:ascii="Times New Roman" w:hAnsi="Times New Roman" w:eastAsia="宋体" w:cs="Times New Roman"/>
      <w:kern w:val="2"/>
      <w:sz w:val="24"/>
      <w:szCs w:val="24"/>
      <w:lang w:val="en-US" w:eastAsia="zh-CN" w:bidi="ar-SA"/>
    </w:rPr>
  </w:style>
  <w:style w:type="paragraph" w:customStyle="1" w:styleId="74">
    <w:name w:val="Normal_38"/>
    <w:qFormat/>
    <w:uiPriority w:val="0"/>
    <w:rPr>
      <w:rFonts w:ascii="Times New Roman" w:hAnsi="Times New Roman" w:eastAsia="Times New Roman" w:cs="Times New Roman"/>
      <w:sz w:val="24"/>
      <w:szCs w:val="24"/>
      <w:lang w:bidi="ar-SA"/>
    </w:rPr>
  </w:style>
  <w:style w:type="paragraph" w:customStyle="1" w:styleId="75">
    <w:name w:val="正文_15"/>
    <w:qFormat/>
    <w:uiPriority w:val="0"/>
    <w:pPr>
      <w:widowControl w:val="0"/>
      <w:jc w:val="both"/>
    </w:pPr>
    <w:rPr>
      <w:rFonts w:ascii="Calibri" w:hAnsi="Calibri" w:eastAsia="宋体" w:cs="Times New Roman"/>
      <w:kern w:val="2"/>
      <w:sz w:val="21"/>
      <w:szCs w:val="22"/>
      <w:lang w:val="en-US" w:eastAsia="zh-CN" w:bidi="ar-SA"/>
    </w:rPr>
  </w:style>
  <w:style w:type="paragraph" w:customStyle="1" w:styleId="76">
    <w:name w:val="正文_20"/>
    <w:basedOn w:val="59"/>
    <w:qFormat/>
    <w:uiPriority w:val="0"/>
    <w:pPr>
      <w:widowControl w:val="0"/>
      <w:jc w:val="both"/>
    </w:pPr>
    <w:rPr>
      <w:kern w:val="2"/>
      <w:sz w:val="21"/>
      <w:szCs w:val="22"/>
      <w:lang w:val="en-US" w:eastAsia="zh-CN" w:bidi="ar-SA"/>
    </w:rPr>
  </w:style>
  <w:style w:type="paragraph" w:customStyle="1" w:styleId="77">
    <w:name w:val="Normal_1"/>
    <w:qFormat/>
    <w:uiPriority w:val="0"/>
    <w:pPr>
      <w:widowControl w:val="0"/>
      <w:jc w:val="both"/>
    </w:pPr>
    <w:rPr>
      <w:rFonts w:ascii="Calibri" w:hAnsi="Calibri" w:eastAsia="宋体" w:cs="Times New Roman"/>
      <w:lang w:val="en-US" w:eastAsia="zh-CN" w:bidi="ar-SA"/>
    </w:rPr>
  </w:style>
  <w:style w:type="character" w:customStyle="1" w:styleId="78">
    <w:name w:val="font131"/>
    <w:basedOn w:val="25"/>
    <w:qFormat/>
    <w:uiPriority w:val="0"/>
    <w:rPr>
      <w:rFonts w:ascii="宋体" w:hAnsi="宋体" w:eastAsia="宋体" w:cs="宋体"/>
      <w:color w:val="000000"/>
      <w:sz w:val="22"/>
      <w:szCs w:val="22"/>
      <w:u w:val="none"/>
    </w:rPr>
  </w:style>
  <w:style w:type="character" w:customStyle="1" w:styleId="79">
    <w:name w:val="font141"/>
    <w:basedOn w:val="25"/>
    <w:qFormat/>
    <w:uiPriority w:val="0"/>
    <w:rPr>
      <w:rFonts w:ascii="宋体" w:hAnsi="宋体" w:eastAsia="宋体" w:cs="宋体"/>
      <w:color w:val="000000"/>
      <w:sz w:val="20"/>
      <w:szCs w:val="20"/>
      <w:u w:val="none"/>
    </w:rPr>
  </w:style>
  <w:style w:type="paragraph" w:customStyle="1" w:styleId="80">
    <w:name w:val="正文_0_0"/>
    <w:basedOn w:val="81"/>
    <w:qFormat/>
    <w:uiPriority w:val="0"/>
    <w:pPr>
      <w:widowControl w:val="0"/>
      <w:spacing w:line="440" w:lineRule="exact"/>
      <w:jc w:val="both"/>
    </w:pPr>
    <w:rPr>
      <w:kern w:val="2"/>
      <w:sz w:val="24"/>
      <w:szCs w:val="24"/>
      <w:lang w:val="en-US" w:eastAsia="zh-CN" w:bidi="ar-SA"/>
    </w:rPr>
  </w:style>
  <w:style w:type="paragraph" w:customStyle="1" w:styleId="81">
    <w:name w:val="正文_0"/>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styleId="82">
    <w:name w:val="List Paragraph"/>
    <w:basedOn w:val="1"/>
    <w:qFormat/>
    <w:uiPriority w:val="1"/>
    <w:pPr>
      <w:ind w:left="802" w:firstLine="480"/>
    </w:pPr>
    <w:rPr>
      <w:rFonts w:ascii="宋体" w:hAnsi="宋体" w:eastAsia="宋体" w:cs="宋体"/>
      <w:lang w:val="en-US" w:eastAsia="zh-CN" w:bidi="ar-SA"/>
    </w:rPr>
  </w:style>
  <w:style w:type="paragraph" w:customStyle="1" w:styleId="83">
    <w:name w:val="Body Text Indent_0"/>
    <w:basedOn w:val="20"/>
    <w:next w:val="84"/>
    <w:qFormat/>
    <w:uiPriority w:val="0"/>
    <w:pPr>
      <w:spacing w:after="120"/>
      <w:ind w:left="420" w:leftChars="200"/>
    </w:pPr>
    <w:rPr>
      <w:szCs w:val="24"/>
    </w:rPr>
  </w:style>
  <w:style w:type="paragraph" w:customStyle="1" w:styleId="84">
    <w:name w:val="Body Text Indent 2_0"/>
    <w:basedOn w:val="20"/>
    <w:next w:val="18"/>
    <w:qFormat/>
    <w:uiPriority w:val="0"/>
    <w:pPr>
      <w:spacing w:after="120" w:line="480" w:lineRule="auto"/>
      <w:ind w:left="420" w:leftChars="200"/>
    </w:pPr>
    <w:rPr>
      <w:szCs w:val="24"/>
    </w:rPr>
  </w:style>
  <w:style w:type="paragraph" w:customStyle="1" w:styleId="85">
    <w:name w:val="正文文本缩进 21"/>
    <w:basedOn w:val="20"/>
    <w:next w:val="18"/>
    <w:qFormat/>
    <w:uiPriority w:val="0"/>
    <w:pPr>
      <w:spacing w:after="120" w:line="480" w:lineRule="auto"/>
      <w:ind w:left="420" w:left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140</Pages>
  <Words>4761</Words>
  <Characters>5151</Characters>
  <Lines>0</Lines>
  <Paragraphs>0</Paragraphs>
  <TotalTime>370</TotalTime>
  <ScaleCrop>false</ScaleCrop>
  <LinksUpToDate>false</LinksUpToDate>
  <CharactersWithSpaces>5265</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2025-09-30T10:12:00Z</dcterms:created>
  <dc:creator>Vical</dc:creator>
  <cp:lastModifiedBy>szr-h</cp:lastModifiedBy>
  <dcterms:modified xsi:type="dcterms:W3CDTF">2026-10-19T09:18:43Z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5BC222F1DEA7436A8C2E2AF83D9966B0_13</vt:lpwstr>
  </property>
  <property fmtid="{D5CDD505-2E9C-101B-9397-08002B2CF9AE}" pid="4" name="KSOTemplateDocerSaveRecord">
    <vt:lpwstr>eyJoZGlkIjoiMDE3MWE1ZDM4YTZiMzhjYzNjNDRlNjc5M2I3M2Y0NGQiLCJ1c2VySWQiOiI3MDkwOTk0NzEifQ==</vt:lpwstr>
  </property>
</Properties>
</file>